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6D" w:rsidRDefault="00163F6D" w:rsidP="00163F6D">
      <w:pPr>
        <w:rPr>
          <w:rFonts w:ascii="Fruchtig Extra Bold DB" w:hAnsi="Fruchtig Extra Bold DB"/>
          <w:b/>
          <w:sz w:val="28"/>
        </w:rPr>
      </w:pPr>
      <w:bookmarkStart w:id="0" w:name="_GoBack"/>
      <w:bookmarkEnd w:id="0"/>
      <w:r>
        <w:rPr>
          <w:rFonts w:ascii="Fruchtig Extra Bold DB" w:hAnsi="Fruchtig Extra Bold DB"/>
          <w:b/>
          <w:sz w:val="28"/>
        </w:rPr>
        <w:t>STUDIENSEMINAR FÜR DAS LEHRAMT AN GYMNASIEN -MARBURG</w:t>
      </w:r>
    </w:p>
    <w:p w:rsidR="00163F6D" w:rsidRDefault="00163F6D" w:rsidP="00163F6D">
      <w:pPr>
        <w:jc w:val="center"/>
        <w:rPr>
          <w:rFonts w:ascii="Arial" w:hAnsi="Arial"/>
          <w:spacing w:val="10"/>
          <w:sz w:val="16"/>
        </w:rPr>
      </w:pPr>
      <w:r>
        <w:rPr>
          <w:rFonts w:ascii="Arial" w:hAnsi="Arial"/>
          <w:spacing w:val="28"/>
          <w:sz w:val="16"/>
          <w:u w:val="single"/>
        </w:rPr>
        <w:t>Postanschrift:</w:t>
      </w:r>
      <w:r>
        <w:rPr>
          <w:rFonts w:ascii="Arial" w:hAnsi="Arial"/>
          <w:spacing w:val="28"/>
          <w:sz w:val="16"/>
        </w:rPr>
        <w:t xml:space="preserve"> </w:t>
      </w:r>
      <w:r>
        <w:rPr>
          <w:rFonts w:ascii="Arial" w:hAnsi="Arial"/>
          <w:sz w:val="16"/>
        </w:rPr>
        <w:t xml:space="preserve">Robert-Koch-Straße 17   3 5 0 37  </w:t>
      </w:r>
      <w:r>
        <w:rPr>
          <w:rFonts w:ascii="Arial" w:hAnsi="Arial"/>
          <w:spacing w:val="10"/>
          <w:sz w:val="16"/>
        </w:rPr>
        <w:t xml:space="preserve"> Marburg</w:t>
      </w:r>
    </w:p>
    <w:p w:rsidR="00163F6D" w:rsidRPr="00CD0276" w:rsidRDefault="00163F6D" w:rsidP="00163F6D">
      <w:pPr>
        <w:pBdr>
          <w:bottom w:val="single" w:sz="6" w:space="4" w:color="auto"/>
        </w:pBdr>
        <w:tabs>
          <w:tab w:val="left" w:pos="4423"/>
          <w:tab w:val="left" w:pos="8364"/>
        </w:tabs>
        <w:jc w:val="center"/>
        <w:rPr>
          <w:rFonts w:ascii="Arial" w:hAnsi="Arial"/>
          <w:spacing w:val="20"/>
          <w:sz w:val="16"/>
        </w:rPr>
      </w:pPr>
      <w:r>
        <w:rPr>
          <w:rFonts w:ascii="Arial" w:hAnsi="Arial"/>
          <w:sz w:val="16"/>
        </w:rPr>
        <w:t xml:space="preserve">TELEFON :  </w:t>
      </w:r>
      <w:r>
        <w:rPr>
          <w:rFonts w:ascii="Arial" w:hAnsi="Arial"/>
          <w:spacing w:val="18"/>
          <w:sz w:val="16"/>
        </w:rPr>
        <w:t>06421</w:t>
      </w:r>
      <w:r>
        <w:rPr>
          <w:rFonts w:ascii="Arial" w:hAnsi="Arial"/>
          <w:sz w:val="16"/>
        </w:rPr>
        <w:t>/ 616469</w:t>
      </w:r>
      <w:r>
        <w:rPr>
          <w:rFonts w:ascii="Arial" w:hAnsi="Arial"/>
          <w:spacing w:val="12"/>
          <w:sz w:val="16"/>
        </w:rPr>
        <w:t xml:space="preserve">    FAX: / 616466</w:t>
      </w:r>
      <w:r>
        <w:rPr>
          <w:rFonts w:ascii="Arial" w:hAnsi="Arial"/>
          <w:sz w:val="16"/>
        </w:rPr>
        <w:t xml:space="preserve">           E-Mail: stsem-gym-mr@afl.hessen.de</w:t>
      </w:r>
    </w:p>
    <w:p w:rsidR="00163F6D" w:rsidRDefault="00163F6D" w:rsidP="00163F6D">
      <w:pPr>
        <w:rPr>
          <w:b/>
          <w:sz w:val="32"/>
          <w:szCs w:val="32"/>
          <w:u w:val="single"/>
        </w:rPr>
      </w:pPr>
    </w:p>
    <w:p w:rsidR="00163F6D" w:rsidRPr="00074D74" w:rsidRDefault="00163F6D" w:rsidP="00163F6D">
      <w:pPr>
        <w:ind w:right="-569"/>
        <w:rPr>
          <w:sz w:val="24"/>
          <w:szCs w:val="24"/>
        </w:rPr>
      </w:pPr>
      <w:r w:rsidRPr="00074D74">
        <w:rPr>
          <w:b/>
          <w:sz w:val="28"/>
          <w:szCs w:val="28"/>
          <w:u w:val="single"/>
        </w:rPr>
        <w:t>Wichtige Seminarratsbeschlüsse</w:t>
      </w:r>
      <w:r w:rsidRPr="00074D74">
        <w:rPr>
          <w:sz w:val="28"/>
          <w:szCs w:val="28"/>
        </w:rPr>
        <w:t xml:space="preserve">  </w:t>
      </w:r>
      <w:r>
        <w:rPr>
          <w:sz w:val="28"/>
          <w:szCs w:val="28"/>
        </w:rPr>
        <w:t xml:space="preserve"> </w:t>
      </w:r>
      <w:r>
        <w:rPr>
          <w:sz w:val="24"/>
          <w:szCs w:val="24"/>
        </w:rPr>
        <w:t>(z. T. Auszüge – Originalbeschlüsse vgl. Homepage:</w:t>
      </w:r>
    </w:p>
    <w:p w:rsidR="00163F6D" w:rsidRPr="008A1087" w:rsidRDefault="00163F6D" w:rsidP="00163F6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              www.sts-gym-marburg.bildung.hessen.de)</w:t>
      </w:r>
    </w:p>
    <w:p w:rsidR="00163F6D" w:rsidRDefault="00163F6D" w:rsidP="00163F6D">
      <w:pPr>
        <w:rPr>
          <w:b/>
          <w:sz w:val="24"/>
          <w:szCs w:val="24"/>
        </w:rPr>
      </w:pPr>
      <w:r w:rsidRPr="00743978">
        <w:rPr>
          <w:b/>
          <w:sz w:val="24"/>
          <w:szCs w:val="24"/>
          <w:u w:val="single"/>
        </w:rPr>
        <w:t>Unterrichtsentwürfe</w:t>
      </w:r>
      <w:r>
        <w:rPr>
          <w:b/>
          <w:sz w:val="24"/>
          <w:szCs w:val="24"/>
        </w:rPr>
        <w:t>:</w:t>
      </w:r>
    </w:p>
    <w:p w:rsidR="00163F6D" w:rsidRPr="0058462E" w:rsidRDefault="00163F6D" w:rsidP="00163F6D">
      <w:pPr>
        <w:ind w:right="-468"/>
        <w:rPr>
          <w:sz w:val="24"/>
          <w:szCs w:val="24"/>
        </w:rPr>
      </w:pPr>
      <w:r w:rsidRPr="0058462E">
        <w:rPr>
          <w:sz w:val="24"/>
          <w:szCs w:val="24"/>
        </w:rPr>
        <w:t>Die Seitenzahlen für Unterrichtsentwürfe (bzw. Entwürfe für andere Praxisbesuche) werden vom Seminarrat auf maximal 5 Seiten (Times, SG 12; 1,5 Zeilenabstand) für einen regulären Besuch und maximal 7 Seiten für einen Besuch zweier Fachleiter/innen (Doppelbesuch) b</w:t>
      </w:r>
      <w:r w:rsidRPr="0058462E">
        <w:rPr>
          <w:sz w:val="24"/>
          <w:szCs w:val="24"/>
        </w:rPr>
        <w:t>e</w:t>
      </w:r>
      <w:r w:rsidRPr="0058462E">
        <w:rPr>
          <w:sz w:val="24"/>
          <w:szCs w:val="24"/>
        </w:rPr>
        <w:t xml:space="preserve">grenzt. </w:t>
      </w:r>
      <w:r w:rsidRPr="0058462E">
        <w:rPr>
          <w:sz w:val="24"/>
          <w:szCs w:val="24"/>
        </w:rPr>
        <w:br/>
        <w:t>Die Summe der Seitenzahlen für weitere Leistungsnachweise in den Modulen b</w:t>
      </w:r>
      <w:r w:rsidRPr="0058462E">
        <w:rPr>
          <w:sz w:val="24"/>
          <w:szCs w:val="24"/>
        </w:rPr>
        <w:t>e</w:t>
      </w:r>
      <w:r w:rsidRPr="0058462E">
        <w:rPr>
          <w:sz w:val="24"/>
          <w:szCs w:val="24"/>
        </w:rPr>
        <w:t>trägt bei Halbmodulen maximal 3Seiten, bei Vol</w:t>
      </w:r>
      <w:r w:rsidRPr="0058462E">
        <w:rPr>
          <w:sz w:val="24"/>
          <w:szCs w:val="24"/>
        </w:rPr>
        <w:t>l</w:t>
      </w:r>
      <w:r w:rsidRPr="0058462E">
        <w:rPr>
          <w:sz w:val="24"/>
          <w:szCs w:val="24"/>
        </w:rPr>
        <w:t xml:space="preserve">modulen maximal 5 Seiten. </w:t>
      </w:r>
      <w:r w:rsidRPr="0058462E">
        <w:rPr>
          <w:sz w:val="24"/>
          <w:szCs w:val="24"/>
        </w:rPr>
        <w:br/>
        <w:t xml:space="preserve">Die Werte sind Maximalwerte, eine Unterschreitung ist völlig unproblematisch. </w:t>
      </w:r>
    </w:p>
    <w:p w:rsidR="00163F6D" w:rsidRPr="00CD0276" w:rsidRDefault="00163F6D" w:rsidP="00163F6D">
      <w:pPr>
        <w:ind w:right="-468"/>
      </w:pPr>
      <w:r w:rsidRPr="00CD0276">
        <w:t>(SR-Beschluss v. 18.5.06)</w:t>
      </w:r>
    </w:p>
    <w:p w:rsidR="00163F6D" w:rsidRPr="00CD0276" w:rsidRDefault="00163F6D" w:rsidP="00163F6D"/>
    <w:p w:rsidR="00163F6D" w:rsidRPr="0058462E" w:rsidRDefault="00163F6D" w:rsidP="00163F6D">
      <w:pPr>
        <w:rPr>
          <w:sz w:val="24"/>
          <w:szCs w:val="24"/>
        </w:rPr>
      </w:pPr>
      <w:r w:rsidRPr="0058462E">
        <w:rPr>
          <w:sz w:val="24"/>
          <w:szCs w:val="24"/>
        </w:rPr>
        <w:t>Der Seminarrat beschließt den Leitfaden für Unterrichtsentwürfe als verbindliche Grundlage für die Praxisbesuche in den Modulen. Bei der Planungsleistung und deren Würdigung ist die semesterspezifische Progression angemessen zu berücksichtigen.</w:t>
      </w:r>
    </w:p>
    <w:p w:rsidR="00163F6D" w:rsidRPr="00CD0276" w:rsidRDefault="00163F6D" w:rsidP="00163F6D">
      <w:r w:rsidRPr="00CD0276">
        <w:t>(SR-Beschluss vom 16.4.08)</w:t>
      </w:r>
    </w:p>
    <w:p w:rsidR="00163F6D" w:rsidRPr="00CD0276" w:rsidRDefault="00163F6D" w:rsidP="00163F6D"/>
    <w:p w:rsidR="00163F6D" w:rsidRDefault="00163F6D" w:rsidP="00163F6D">
      <w:pPr>
        <w:rPr>
          <w:b/>
          <w:sz w:val="24"/>
          <w:szCs w:val="24"/>
        </w:rPr>
      </w:pPr>
      <w:r w:rsidRPr="00743978">
        <w:rPr>
          <w:b/>
          <w:sz w:val="24"/>
          <w:szCs w:val="24"/>
          <w:u w:val="single"/>
        </w:rPr>
        <w:t>Doppelbesuche</w:t>
      </w:r>
      <w:r>
        <w:rPr>
          <w:b/>
          <w:sz w:val="24"/>
          <w:szCs w:val="24"/>
        </w:rPr>
        <w:t>:</w:t>
      </w:r>
    </w:p>
    <w:p w:rsidR="00163F6D" w:rsidRPr="0058462E" w:rsidRDefault="00163F6D" w:rsidP="00163F6D">
      <w:pPr>
        <w:ind w:right="567"/>
        <w:rPr>
          <w:sz w:val="24"/>
          <w:szCs w:val="24"/>
        </w:rPr>
      </w:pPr>
      <w:r w:rsidRPr="0058462E">
        <w:rPr>
          <w:sz w:val="24"/>
          <w:szCs w:val="24"/>
        </w:rPr>
        <w:t>Der Seminarrat begrüßt die Praxis der Doppelbesuche zwischen Fach- und Allgemeinpädagogischen Modulen, die ab dem 1. HS regelmäßig stattfinden sollten (mindestens ein Doppelbesuch pro LiV). Sie dienen der Vernetzung der Arbeit in den Modulen und der Reduktion der Gesamtzahl der Unterrichtsbesuche. Bei Doppelbesuchen sollen folgende Leitlinien Beachtung finden:</w:t>
      </w:r>
    </w:p>
    <w:p w:rsidR="00163F6D" w:rsidRPr="0058462E" w:rsidRDefault="00163F6D" w:rsidP="00163F6D">
      <w:pPr>
        <w:numPr>
          <w:ilvl w:val="0"/>
          <w:numId w:val="2"/>
        </w:numPr>
        <w:ind w:right="567"/>
        <w:rPr>
          <w:sz w:val="24"/>
          <w:szCs w:val="24"/>
        </w:rPr>
      </w:pPr>
      <w:r w:rsidRPr="0058462E">
        <w:rPr>
          <w:sz w:val="24"/>
          <w:szCs w:val="24"/>
        </w:rPr>
        <w:t>Reflexionszeit für LiV 15-20 Minuten,</w:t>
      </w:r>
    </w:p>
    <w:p w:rsidR="00163F6D" w:rsidRPr="0058462E" w:rsidRDefault="00163F6D" w:rsidP="00163F6D">
      <w:pPr>
        <w:numPr>
          <w:ilvl w:val="0"/>
          <w:numId w:val="2"/>
        </w:numPr>
        <w:ind w:right="567"/>
        <w:rPr>
          <w:sz w:val="24"/>
          <w:szCs w:val="24"/>
        </w:rPr>
      </w:pPr>
      <w:r w:rsidRPr="0058462E">
        <w:rPr>
          <w:sz w:val="24"/>
          <w:szCs w:val="24"/>
        </w:rPr>
        <w:t>Ausbilder/innen und Mentoren nutzen die Zeit zur Vorbereitung des Gesprächs im Sinne einer förderlichen Beratung</w:t>
      </w:r>
    </w:p>
    <w:p w:rsidR="00163F6D" w:rsidRPr="0058462E" w:rsidRDefault="00163F6D" w:rsidP="00163F6D">
      <w:pPr>
        <w:numPr>
          <w:ilvl w:val="0"/>
          <w:numId w:val="2"/>
        </w:numPr>
        <w:ind w:right="567"/>
        <w:rPr>
          <w:sz w:val="24"/>
          <w:szCs w:val="24"/>
        </w:rPr>
      </w:pPr>
      <w:r w:rsidRPr="0058462E">
        <w:rPr>
          <w:sz w:val="24"/>
          <w:szCs w:val="24"/>
        </w:rPr>
        <w:t xml:space="preserve">eine fachliche und pädagogische Überfrachtung des Gesprächs ist unbedingt zu vermeiden, zusätzlich soll der Richtwert von 50 Minuten Beachtung finden (Aufnahmefähigkeit der LiV beachten) </w:t>
      </w:r>
    </w:p>
    <w:p w:rsidR="00163F6D" w:rsidRPr="0058462E" w:rsidRDefault="00163F6D" w:rsidP="00163F6D">
      <w:pPr>
        <w:ind w:left="360" w:right="567"/>
        <w:rPr>
          <w:sz w:val="24"/>
          <w:szCs w:val="24"/>
        </w:rPr>
      </w:pPr>
      <w:r w:rsidRPr="0058462E">
        <w:rPr>
          <w:sz w:val="24"/>
          <w:szCs w:val="24"/>
        </w:rPr>
        <w:t>Die Bewertung der Stunde darf aufgrund des unterschiedlichen Modulkontextes zwischen den Ausbildern differieren.</w:t>
      </w:r>
    </w:p>
    <w:p w:rsidR="00163F6D" w:rsidRPr="00CD0276" w:rsidRDefault="00163F6D" w:rsidP="00163F6D">
      <w:r w:rsidRPr="00CD0276">
        <w:t>(SR-Beschluss vom 16.4.08)</w:t>
      </w:r>
    </w:p>
    <w:p w:rsidR="00163F6D" w:rsidRPr="00CD0276" w:rsidRDefault="00163F6D" w:rsidP="00163F6D"/>
    <w:p w:rsidR="00163F6D" w:rsidRPr="00D40822" w:rsidRDefault="00163F6D" w:rsidP="00163F6D">
      <w:pPr>
        <w:ind w:left="6"/>
        <w:rPr>
          <w:b/>
          <w:sz w:val="24"/>
          <w:szCs w:val="24"/>
          <w:u w:val="single"/>
        </w:rPr>
      </w:pPr>
      <w:r>
        <w:rPr>
          <w:b/>
          <w:sz w:val="24"/>
          <w:szCs w:val="24"/>
          <w:u w:val="single"/>
        </w:rPr>
        <w:t>Rückmeldung über den Notenbereich</w:t>
      </w:r>
    </w:p>
    <w:p w:rsidR="00163F6D" w:rsidRPr="0058462E" w:rsidRDefault="00163F6D" w:rsidP="00163F6D">
      <w:pPr>
        <w:ind w:left="6"/>
        <w:rPr>
          <w:sz w:val="24"/>
          <w:szCs w:val="24"/>
        </w:rPr>
      </w:pPr>
      <w:r w:rsidRPr="0058462E">
        <w:rPr>
          <w:sz w:val="24"/>
          <w:szCs w:val="24"/>
        </w:rPr>
        <w:t xml:space="preserve">Der Seminarrat hat einstimmig eine Rückmeldung über den Notenbereich   </w:t>
      </w:r>
    </w:p>
    <w:p w:rsidR="00163F6D" w:rsidRPr="0058462E" w:rsidRDefault="00163F6D" w:rsidP="00163F6D">
      <w:pPr>
        <w:rPr>
          <w:sz w:val="24"/>
          <w:szCs w:val="24"/>
        </w:rPr>
      </w:pPr>
      <w:r w:rsidRPr="0058462E">
        <w:rPr>
          <w:sz w:val="24"/>
          <w:szCs w:val="24"/>
        </w:rPr>
        <w:t>nach Unterrichtsbesuchen beschlossen. Der Beschluss lautet: Nach jedem</w:t>
      </w:r>
    </w:p>
    <w:p w:rsidR="00163F6D" w:rsidRPr="0058462E" w:rsidRDefault="00163F6D" w:rsidP="00163F6D">
      <w:pPr>
        <w:rPr>
          <w:sz w:val="24"/>
          <w:szCs w:val="24"/>
        </w:rPr>
      </w:pPr>
      <w:r w:rsidRPr="0058462E">
        <w:rPr>
          <w:sz w:val="24"/>
          <w:szCs w:val="24"/>
        </w:rPr>
        <w:t xml:space="preserve">UB, der nach vorheriger Absprache in die Bewertung einfließt, wird auf   </w:t>
      </w:r>
    </w:p>
    <w:p w:rsidR="00163F6D" w:rsidRPr="0058462E" w:rsidRDefault="00163F6D" w:rsidP="00163F6D">
      <w:pPr>
        <w:rPr>
          <w:sz w:val="24"/>
          <w:szCs w:val="24"/>
        </w:rPr>
      </w:pPr>
      <w:r w:rsidRPr="0058462E">
        <w:rPr>
          <w:sz w:val="24"/>
          <w:szCs w:val="24"/>
        </w:rPr>
        <w:t>Wunsch der LiV der Notenbereich genannt.</w:t>
      </w:r>
    </w:p>
    <w:p w:rsidR="00163F6D" w:rsidRPr="00CD0276" w:rsidRDefault="00163F6D" w:rsidP="00163F6D">
      <w:pPr>
        <w:tabs>
          <w:tab w:val="left" w:pos="3285"/>
        </w:tabs>
      </w:pPr>
      <w:r w:rsidRPr="00CD0276">
        <w:t>(SR-Beschluss vom 24.10.07)</w:t>
      </w:r>
      <w:r w:rsidRPr="00CD0276">
        <w:tab/>
      </w:r>
    </w:p>
    <w:p w:rsidR="00163F6D" w:rsidRPr="00CD0276" w:rsidRDefault="00163F6D" w:rsidP="00163F6D"/>
    <w:p w:rsidR="00163F6D" w:rsidRPr="00D40822" w:rsidRDefault="00163F6D" w:rsidP="00163F6D">
      <w:pPr>
        <w:rPr>
          <w:b/>
          <w:sz w:val="24"/>
          <w:szCs w:val="24"/>
          <w:u w:val="single"/>
        </w:rPr>
      </w:pPr>
      <w:r>
        <w:rPr>
          <w:b/>
          <w:sz w:val="24"/>
          <w:szCs w:val="24"/>
          <w:u w:val="single"/>
        </w:rPr>
        <w:t>Schriftliche Fixierung der Besprechungsergebnisse</w:t>
      </w:r>
    </w:p>
    <w:p w:rsidR="00163F6D" w:rsidRPr="0058462E" w:rsidRDefault="00163F6D" w:rsidP="00163F6D">
      <w:pPr>
        <w:ind w:right="-468"/>
        <w:jc w:val="both"/>
        <w:rPr>
          <w:sz w:val="24"/>
          <w:szCs w:val="24"/>
        </w:rPr>
      </w:pPr>
      <w:r w:rsidRPr="0058462E">
        <w:rPr>
          <w:sz w:val="24"/>
          <w:szCs w:val="24"/>
        </w:rPr>
        <w:t>In allen Modulen werden die Nachbesprechungen der Unterrichtsbesuche in den ersten beiden Semestern von den Ausbilderinnen/den Ausbildern schriftlich fixiert, in den folgenden Semestern nach Absprache von den Ausbilderinnen/den Ausbildern oder den LiV. Generell werden die schriftlichen Fixierungen nicht benotet.</w:t>
      </w:r>
    </w:p>
    <w:p w:rsidR="00163F6D" w:rsidRPr="00CD0276" w:rsidRDefault="00163F6D" w:rsidP="00163F6D">
      <w:pPr>
        <w:ind w:right="-468"/>
        <w:jc w:val="both"/>
      </w:pPr>
      <w:r w:rsidRPr="00CD0276">
        <w:t>(SR-Beschluss v. 10.12.07)</w:t>
      </w:r>
    </w:p>
    <w:p w:rsidR="00163F6D" w:rsidRPr="00CD0276" w:rsidRDefault="00163F6D" w:rsidP="00163F6D"/>
    <w:p w:rsidR="00163F6D" w:rsidRPr="00F803F9" w:rsidRDefault="00163F6D" w:rsidP="00163F6D">
      <w:pPr>
        <w:rPr>
          <w:b/>
          <w:sz w:val="24"/>
          <w:szCs w:val="24"/>
          <w:u w:val="single"/>
        </w:rPr>
      </w:pPr>
      <w:r>
        <w:rPr>
          <w:b/>
          <w:sz w:val="24"/>
          <w:szCs w:val="24"/>
          <w:u w:val="single"/>
        </w:rPr>
        <w:t>Bewertung von Unterrichtsbesuchen</w:t>
      </w:r>
    </w:p>
    <w:p w:rsidR="00163F6D" w:rsidRPr="00074D74" w:rsidRDefault="00163F6D" w:rsidP="00163F6D">
      <w:pPr>
        <w:rPr>
          <w:sz w:val="24"/>
          <w:szCs w:val="24"/>
        </w:rPr>
      </w:pPr>
      <w:r w:rsidRPr="00074D74">
        <w:rPr>
          <w:sz w:val="24"/>
          <w:szCs w:val="24"/>
        </w:rPr>
        <w:t xml:space="preserve">Der Seminarrat empfiehlt den Ausbilderinnen und Ausbildern, die Beurteilung von Unterrichtsbesuchen an der Matrix mit dem Titel „Bewertung am Studienseminar für Gymnasien in Marburg“ zu orientieren. </w:t>
      </w:r>
    </w:p>
    <w:p w:rsidR="00163F6D" w:rsidRPr="00105B09" w:rsidRDefault="00163F6D" w:rsidP="00163F6D">
      <w:r w:rsidRPr="00074D74">
        <w:rPr>
          <w:sz w:val="24"/>
          <w:szCs w:val="24"/>
        </w:rPr>
        <w:t>(</w:t>
      </w:r>
      <w:r>
        <w:t>genauer Text des SR-Beschlusses vom 22.9.10 vgl. Homepage)</w:t>
      </w:r>
    </w:p>
    <w:p w:rsidR="00163F6D" w:rsidRDefault="00163F6D" w:rsidP="00163F6D">
      <w:pPr>
        <w:rPr>
          <w:sz w:val="22"/>
          <w:szCs w:val="22"/>
        </w:rPr>
      </w:pPr>
    </w:p>
    <w:p w:rsidR="00163F6D" w:rsidRPr="008A1087" w:rsidRDefault="00163F6D" w:rsidP="00163F6D">
      <w:r w:rsidRPr="0058462E">
        <w:rPr>
          <w:sz w:val="22"/>
          <w:szCs w:val="22"/>
        </w:rPr>
        <w:lastRenderedPageBreak/>
        <w:t>W</w:t>
      </w:r>
      <w:r>
        <w:rPr>
          <w:sz w:val="22"/>
          <w:szCs w:val="22"/>
        </w:rPr>
        <w:t xml:space="preserve">ichtige Seminarratsbeschlüsse </w:t>
      </w:r>
      <w:r>
        <w:rPr>
          <w:sz w:val="22"/>
          <w:szCs w:val="22"/>
        </w:rPr>
        <w:tab/>
        <w:t xml:space="preserve">        </w:t>
      </w:r>
      <w:r w:rsidRPr="0058462E">
        <w:rPr>
          <w:sz w:val="22"/>
          <w:szCs w:val="22"/>
        </w:rPr>
        <w:t xml:space="preserve"> -  S. 2 -</w:t>
      </w:r>
      <w:r>
        <w:rPr>
          <w:sz w:val="22"/>
          <w:szCs w:val="22"/>
        </w:rPr>
        <w:tab/>
      </w:r>
      <w:r>
        <w:rPr>
          <w:sz w:val="22"/>
          <w:szCs w:val="22"/>
        </w:rPr>
        <w:tab/>
      </w:r>
      <w:r>
        <w:rPr>
          <w:sz w:val="22"/>
          <w:szCs w:val="22"/>
        </w:rPr>
        <w:tab/>
      </w:r>
      <w:r>
        <w:t>Stand: Februar 2011</w:t>
      </w:r>
    </w:p>
    <w:p w:rsidR="00163F6D" w:rsidRDefault="00163F6D" w:rsidP="00163F6D">
      <w:pPr>
        <w:rPr>
          <w:sz w:val="24"/>
          <w:szCs w:val="24"/>
        </w:rPr>
      </w:pPr>
    </w:p>
    <w:p w:rsidR="00163F6D" w:rsidRPr="00F803F9" w:rsidRDefault="00163F6D" w:rsidP="00163F6D">
      <w:r w:rsidRPr="00F803F9">
        <w:rPr>
          <w:sz w:val="24"/>
          <w:szCs w:val="24"/>
        </w:rPr>
        <w:t>Der Seminarrat empfiehlt, den LiV die gemeinsamen Bewertungskriterien von Unterricht (Matrix) im Sinne des „Didaktischen Grundkonzeptes zur Integration der Matrix in der Ausbildung“ vom 25.6.2010  zu vermitteln.</w:t>
      </w:r>
      <w:r>
        <w:rPr>
          <w:sz w:val="24"/>
          <w:szCs w:val="24"/>
        </w:rPr>
        <w:t xml:space="preserve"> </w:t>
      </w:r>
      <w:r>
        <w:t>(SR-Beschluss vom  22.9.10)</w:t>
      </w:r>
    </w:p>
    <w:p w:rsidR="00163F6D" w:rsidRDefault="00163F6D" w:rsidP="00163F6D">
      <w:pPr>
        <w:rPr>
          <w:sz w:val="24"/>
          <w:szCs w:val="24"/>
        </w:rPr>
      </w:pPr>
    </w:p>
    <w:p w:rsidR="00163F6D" w:rsidRPr="00DC2E97" w:rsidRDefault="00163F6D" w:rsidP="00163F6D">
      <w:pPr>
        <w:rPr>
          <w:b/>
          <w:sz w:val="24"/>
          <w:szCs w:val="24"/>
        </w:rPr>
      </w:pPr>
      <w:r w:rsidRPr="008650DB">
        <w:rPr>
          <w:b/>
          <w:sz w:val="24"/>
          <w:szCs w:val="24"/>
          <w:u w:val="single"/>
        </w:rPr>
        <w:t>Bewertung Fachmodule</w:t>
      </w:r>
      <w:r w:rsidRPr="00DC2E97">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2243"/>
        <w:gridCol w:w="1593"/>
        <w:gridCol w:w="1593"/>
        <w:gridCol w:w="1936"/>
      </w:tblGrid>
      <w:tr w:rsidR="00163F6D" w:rsidRPr="000B7653">
        <w:tc>
          <w:tcPr>
            <w:tcW w:w="1842" w:type="dxa"/>
          </w:tcPr>
          <w:p w:rsidR="00163F6D" w:rsidRPr="000B7653" w:rsidRDefault="00163F6D" w:rsidP="00163F6D">
            <w:pPr>
              <w:rPr>
                <w:sz w:val="24"/>
                <w:szCs w:val="24"/>
              </w:rPr>
            </w:pPr>
          </w:p>
        </w:tc>
        <w:tc>
          <w:tcPr>
            <w:tcW w:w="1842" w:type="dxa"/>
          </w:tcPr>
          <w:p w:rsidR="00163F6D" w:rsidRPr="000B7653" w:rsidRDefault="00163F6D" w:rsidP="00163F6D">
            <w:pPr>
              <w:rPr>
                <w:sz w:val="24"/>
                <w:szCs w:val="24"/>
              </w:rPr>
            </w:pPr>
            <w:r w:rsidRPr="000B7653">
              <w:rPr>
                <w:sz w:val="24"/>
                <w:szCs w:val="24"/>
              </w:rPr>
              <w:t>Einführungssemester</w:t>
            </w:r>
          </w:p>
        </w:tc>
        <w:tc>
          <w:tcPr>
            <w:tcW w:w="1842" w:type="dxa"/>
          </w:tcPr>
          <w:p w:rsidR="00163F6D" w:rsidRPr="000B7653" w:rsidRDefault="00163F6D" w:rsidP="00163F6D">
            <w:pPr>
              <w:rPr>
                <w:sz w:val="24"/>
                <w:szCs w:val="24"/>
              </w:rPr>
            </w:pPr>
            <w:r w:rsidRPr="000B7653">
              <w:rPr>
                <w:sz w:val="24"/>
                <w:szCs w:val="24"/>
              </w:rPr>
              <w:t>HS1</w:t>
            </w:r>
          </w:p>
        </w:tc>
        <w:tc>
          <w:tcPr>
            <w:tcW w:w="1843" w:type="dxa"/>
          </w:tcPr>
          <w:p w:rsidR="00163F6D" w:rsidRPr="000B7653" w:rsidRDefault="00163F6D" w:rsidP="00163F6D">
            <w:pPr>
              <w:rPr>
                <w:sz w:val="24"/>
                <w:szCs w:val="24"/>
              </w:rPr>
            </w:pPr>
            <w:r w:rsidRPr="000B7653">
              <w:rPr>
                <w:sz w:val="24"/>
                <w:szCs w:val="24"/>
              </w:rPr>
              <w:t>HS2</w:t>
            </w:r>
          </w:p>
        </w:tc>
        <w:tc>
          <w:tcPr>
            <w:tcW w:w="1843" w:type="dxa"/>
          </w:tcPr>
          <w:p w:rsidR="00163F6D" w:rsidRPr="000B7653" w:rsidRDefault="00163F6D" w:rsidP="00163F6D">
            <w:pPr>
              <w:rPr>
                <w:sz w:val="24"/>
                <w:szCs w:val="24"/>
              </w:rPr>
            </w:pPr>
            <w:r w:rsidRPr="000B7653">
              <w:rPr>
                <w:sz w:val="24"/>
                <w:szCs w:val="24"/>
              </w:rPr>
              <w:t>Examenssemester</w:t>
            </w:r>
          </w:p>
        </w:tc>
      </w:tr>
      <w:tr w:rsidR="00163F6D" w:rsidRPr="000B7653">
        <w:tc>
          <w:tcPr>
            <w:tcW w:w="1842" w:type="dxa"/>
          </w:tcPr>
          <w:p w:rsidR="00163F6D" w:rsidRPr="000B7653" w:rsidRDefault="00163F6D" w:rsidP="00163F6D">
            <w:pPr>
              <w:rPr>
                <w:sz w:val="24"/>
                <w:szCs w:val="24"/>
              </w:rPr>
            </w:pPr>
            <w:r w:rsidRPr="000B7653">
              <w:rPr>
                <w:sz w:val="24"/>
                <w:szCs w:val="24"/>
              </w:rPr>
              <w:t>UB</w:t>
            </w:r>
          </w:p>
        </w:tc>
        <w:tc>
          <w:tcPr>
            <w:tcW w:w="1842" w:type="dxa"/>
          </w:tcPr>
          <w:p w:rsidR="00163F6D" w:rsidRPr="000B7653" w:rsidRDefault="00163F6D" w:rsidP="00163F6D">
            <w:pPr>
              <w:rPr>
                <w:sz w:val="24"/>
                <w:szCs w:val="24"/>
              </w:rPr>
            </w:pPr>
            <w:r w:rsidRPr="000B7653">
              <w:rPr>
                <w:sz w:val="24"/>
                <w:szCs w:val="24"/>
              </w:rPr>
              <w:t>40-50 %</w:t>
            </w:r>
          </w:p>
        </w:tc>
        <w:tc>
          <w:tcPr>
            <w:tcW w:w="1842" w:type="dxa"/>
          </w:tcPr>
          <w:p w:rsidR="00163F6D" w:rsidRPr="000B7653" w:rsidRDefault="00163F6D" w:rsidP="00163F6D">
            <w:pPr>
              <w:rPr>
                <w:sz w:val="24"/>
                <w:szCs w:val="24"/>
              </w:rPr>
            </w:pPr>
            <w:r w:rsidRPr="000B7653">
              <w:rPr>
                <w:sz w:val="24"/>
                <w:szCs w:val="24"/>
              </w:rPr>
              <w:t xml:space="preserve"> 60 - 70 %</w:t>
            </w:r>
          </w:p>
        </w:tc>
        <w:tc>
          <w:tcPr>
            <w:tcW w:w="1843" w:type="dxa"/>
          </w:tcPr>
          <w:p w:rsidR="00163F6D" w:rsidRPr="000B7653" w:rsidRDefault="00163F6D" w:rsidP="00163F6D">
            <w:pPr>
              <w:rPr>
                <w:sz w:val="24"/>
                <w:szCs w:val="24"/>
              </w:rPr>
            </w:pPr>
            <w:r w:rsidRPr="000B7653">
              <w:rPr>
                <w:sz w:val="24"/>
                <w:szCs w:val="24"/>
              </w:rPr>
              <w:t>ca. 70 %</w:t>
            </w:r>
          </w:p>
        </w:tc>
        <w:tc>
          <w:tcPr>
            <w:tcW w:w="1843" w:type="dxa"/>
          </w:tcPr>
          <w:p w:rsidR="00163F6D" w:rsidRPr="000B7653" w:rsidRDefault="00163F6D" w:rsidP="00163F6D">
            <w:pPr>
              <w:rPr>
                <w:sz w:val="24"/>
                <w:szCs w:val="24"/>
              </w:rPr>
            </w:pPr>
            <w:r w:rsidRPr="000B7653">
              <w:rPr>
                <w:sz w:val="24"/>
                <w:szCs w:val="24"/>
              </w:rPr>
              <w:t>ca. 80 %</w:t>
            </w:r>
          </w:p>
        </w:tc>
      </w:tr>
      <w:tr w:rsidR="00163F6D" w:rsidRPr="000B7653">
        <w:tc>
          <w:tcPr>
            <w:tcW w:w="1842" w:type="dxa"/>
          </w:tcPr>
          <w:p w:rsidR="00163F6D" w:rsidRPr="000B7653" w:rsidRDefault="00163F6D" w:rsidP="00163F6D">
            <w:pPr>
              <w:rPr>
                <w:sz w:val="24"/>
                <w:szCs w:val="24"/>
              </w:rPr>
            </w:pPr>
            <w:r w:rsidRPr="000B7653">
              <w:rPr>
                <w:sz w:val="24"/>
                <w:szCs w:val="24"/>
              </w:rPr>
              <w:t>mdl. Mitarbeit</w:t>
            </w:r>
          </w:p>
          <w:p w:rsidR="00163F6D" w:rsidRPr="000B7653" w:rsidRDefault="00163F6D" w:rsidP="00163F6D">
            <w:pPr>
              <w:rPr>
                <w:sz w:val="24"/>
                <w:szCs w:val="24"/>
              </w:rPr>
            </w:pPr>
            <w:r w:rsidRPr="000B7653">
              <w:rPr>
                <w:sz w:val="24"/>
                <w:szCs w:val="24"/>
              </w:rPr>
              <w:t>bes. Leistung</w:t>
            </w:r>
            <w:r w:rsidRPr="000B7653">
              <w:rPr>
                <w:rStyle w:val="Funotenzeichen"/>
                <w:sz w:val="24"/>
                <w:szCs w:val="24"/>
              </w:rPr>
              <w:footnoteReference w:id="1"/>
            </w:r>
          </w:p>
        </w:tc>
        <w:tc>
          <w:tcPr>
            <w:tcW w:w="1842" w:type="dxa"/>
          </w:tcPr>
          <w:p w:rsidR="00163F6D" w:rsidRPr="000B7653" w:rsidRDefault="00163F6D" w:rsidP="00163F6D">
            <w:pPr>
              <w:rPr>
                <w:sz w:val="24"/>
                <w:szCs w:val="24"/>
              </w:rPr>
            </w:pPr>
            <w:r w:rsidRPr="000B7653">
              <w:rPr>
                <w:sz w:val="24"/>
                <w:szCs w:val="24"/>
              </w:rPr>
              <w:t>50-60 %</w:t>
            </w:r>
          </w:p>
        </w:tc>
        <w:tc>
          <w:tcPr>
            <w:tcW w:w="1842" w:type="dxa"/>
          </w:tcPr>
          <w:p w:rsidR="00163F6D" w:rsidRPr="000B7653" w:rsidRDefault="00163F6D" w:rsidP="00163F6D">
            <w:pPr>
              <w:rPr>
                <w:sz w:val="24"/>
                <w:szCs w:val="24"/>
              </w:rPr>
            </w:pPr>
            <w:r w:rsidRPr="000B7653">
              <w:rPr>
                <w:sz w:val="24"/>
                <w:szCs w:val="24"/>
              </w:rPr>
              <w:t xml:space="preserve"> 30 - 40 %</w:t>
            </w:r>
          </w:p>
        </w:tc>
        <w:tc>
          <w:tcPr>
            <w:tcW w:w="1843" w:type="dxa"/>
          </w:tcPr>
          <w:p w:rsidR="00163F6D" w:rsidRPr="000B7653" w:rsidRDefault="00163F6D" w:rsidP="00163F6D">
            <w:pPr>
              <w:rPr>
                <w:sz w:val="24"/>
                <w:szCs w:val="24"/>
              </w:rPr>
            </w:pPr>
            <w:r w:rsidRPr="000B7653">
              <w:rPr>
                <w:sz w:val="24"/>
                <w:szCs w:val="24"/>
              </w:rPr>
              <w:t>ca. 30 %</w:t>
            </w:r>
          </w:p>
        </w:tc>
        <w:tc>
          <w:tcPr>
            <w:tcW w:w="1843" w:type="dxa"/>
          </w:tcPr>
          <w:p w:rsidR="00163F6D" w:rsidRPr="000B7653" w:rsidRDefault="00163F6D" w:rsidP="00163F6D">
            <w:pPr>
              <w:rPr>
                <w:sz w:val="24"/>
                <w:szCs w:val="24"/>
              </w:rPr>
            </w:pPr>
            <w:r w:rsidRPr="000B7653">
              <w:rPr>
                <w:sz w:val="24"/>
                <w:szCs w:val="24"/>
              </w:rPr>
              <w:t>ca. 20 %</w:t>
            </w:r>
          </w:p>
        </w:tc>
      </w:tr>
      <w:tr w:rsidR="00163F6D" w:rsidRPr="000B7653">
        <w:tc>
          <w:tcPr>
            <w:tcW w:w="1842" w:type="dxa"/>
          </w:tcPr>
          <w:p w:rsidR="00163F6D" w:rsidRPr="000B7653" w:rsidRDefault="00163F6D" w:rsidP="00163F6D">
            <w:pPr>
              <w:rPr>
                <w:sz w:val="24"/>
                <w:szCs w:val="24"/>
              </w:rPr>
            </w:pPr>
          </w:p>
        </w:tc>
        <w:tc>
          <w:tcPr>
            <w:tcW w:w="1842" w:type="dxa"/>
          </w:tcPr>
          <w:p w:rsidR="00163F6D" w:rsidRPr="000B7653" w:rsidRDefault="00163F6D" w:rsidP="00163F6D">
            <w:pPr>
              <w:rPr>
                <w:sz w:val="24"/>
                <w:szCs w:val="24"/>
              </w:rPr>
            </w:pPr>
            <w:r w:rsidRPr="000B7653">
              <w:rPr>
                <w:sz w:val="24"/>
                <w:szCs w:val="24"/>
              </w:rPr>
              <w:t>100 %</w:t>
            </w:r>
          </w:p>
        </w:tc>
        <w:tc>
          <w:tcPr>
            <w:tcW w:w="1842" w:type="dxa"/>
          </w:tcPr>
          <w:p w:rsidR="00163F6D" w:rsidRPr="000B7653" w:rsidRDefault="00163F6D" w:rsidP="00163F6D">
            <w:pPr>
              <w:rPr>
                <w:sz w:val="24"/>
                <w:szCs w:val="24"/>
              </w:rPr>
            </w:pPr>
            <w:r w:rsidRPr="000B7653">
              <w:rPr>
                <w:sz w:val="24"/>
                <w:szCs w:val="24"/>
              </w:rPr>
              <w:t>100 %</w:t>
            </w:r>
          </w:p>
        </w:tc>
        <w:tc>
          <w:tcPr>
            <w:tcW w:w="1843" w:type="dxa"/>
          </w:tcPr>
          <w:p w:rsidR="00163F6D" w:rsidRPr="000B7653" w:rsidRDefault="00163F6D" w:rsidP="00163F6D">
            <w:pPr>
              <w:rPr>
                <w:sz w:val="24"/>
                <w:szCs w:val="24"/>
              </w:rPr>
            </w:pPr>
            <w:r w:rsidRPr="000B7653">
              <w:rPr>
                <w:sz w:val="24"/>
                <w:szCs w:val="24"/>
              </w:rPr>
              <w:t>100 %</w:t>
            </w:r>
          </w:p>
        </w:tc>
        <w:tc>
          <w:tcPr>
            <w:tcW w:w="1843" w:type="dxa"/>
          </w:tcPr>
          <w:p w:rsidR="00163F6D" w:rsidRPr="000B7653" w:rsidRDefault="00163F6D" w:rsidP="00163F6D">
            <w:pPr>
              <w:rPr>
                <w:sz w:val="24"/>
                <w:szCs w:val="24"/>
              </w:rPr>
            </w:pPr>
            <w:r w:rsidRPr="000B7653">
              <w:rPr>
                <w:sz w:val="24"/>
                <w:szCs w:val="24"/>
              </w:rPr>
              <w:t>100 %</w:t>
            </w:r>
          </w:p>
        </w:tc>
      </w:tr>
    </w:tbl>
    <w:p w:rsidR="00163F6D" w:rsidRPr="00DC2E97" w:rsidRDefault="00163F6D" w:rsidP="00163F6D">
      <w:pPr>
        <w:rPr>
          <w:sz w:val="24"/>
          <w:szCs w:val="24"/>
        </w:rPr>
      </w:pPr>
    </w:p>
    <w:p w:rsidR="00163F6D" w:rsidRPr="00DC2E97" w:rsidRDefault="00163F6D" w:rsidP="00163F6D">
      <w:pPr>
        <w:rPr>
          <w:b/>
          <w:sz w:val="24"/>
          <w:szCs w:val="24"/>
        </w:rPr>
      </w:pPr>
      <w:r w:rsidRPr="008650DB">
        <w:rPr>
          <w:b/>
          <w:sz w:val="24"/>
          <w:szCs w:val="24"/>
          <w:u w:val="single"/>
        </w:rPr>
        <w:t>Bewertung in allgemeinpädagogischen Modulen</w:t>
      </w:r>
      <w:r w:rsidRPr="00DC2E97">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144"/>
        <w:gridCol w:w="1506"/>
        <w:gridCol w:w="1506"/>
        <w:gridCol w:w="1510"/>
        <w:gridCol w:w="1510"/>
      </w:tblGrid>
      <w:tr w:rsidR="00163F6D" w:rsidRPr="000B7653">
        <w:tc>
          <w:tcPr>
            <w:tcW w:w="1908" w:type="dxa"/>
          </w:tcPr>
          <w:p w:rsidR="00163F6D" w:rsidRPr="000B7653" w:rsidRDefault="00163F6D" w:rsidP="00163F6D">
            <w:pPr>
              <w:rPr>
                <w:sz w:val="24"/>
                <w:szCs w:val="24"/>
              </w:rPr>
            </w:pPr>
          </w:p>
        </w:tc>
        <w:tc>
          <w:tcPr>
            <w:tcW w:w="1162" w:type="dxa"/>
          </w:tcPr>
          <w:p w:rsidR="00163F6D" w:rsidRPr="000B7653" w:rsidRDefault="00163F6D" w:rsidP="00163F6D">
            <w:pPr>
              <w:rPr>
                <w:sz w:val="24"/>
                <w:szCs w:val="24"/>
              </w:rPr>
            </w:pPr>
            <w:r w:rsidRPr="000B7653">
              <w:rPr>
                <w:sz w:val="24"/>
                <w:szCs w:val="24"/>
              </w:rPr>
              <w:t>M3</w:t>
            </w:r>
          </w:p>
        </w:tc>
        <w:tc>
          <w:tcPr>
            <w:tcW w:w="1535" w:type="dxa"/>
          </w:tcPr>
          <w:p w:rsidR="00163F6D" w:rsidRPr="000B7653" w:rsidRDefault="00163F6D" w:rsidP="00163F6D">
            <w:pPr>
              <w:rPr>
                <w:sz w:val="24"/>
                <w:szCs w:val="24"/>
              </w:rPr>
            </w:pPr>
            <w:r w:rsidRPr="000B7653">
              <w:rPr>
                <w:sz w:val="24"/>
                <w:szCs w:val="24"/>
              </w:rPr>
              <w:t>M9</w:t>
            </w:r>
          </w:p>
        </w:tc>
        <w:tc>
          <w:tcPr>
            <w:tcW w:w="1535" w:type="dxa"/>
          </w:tcPr>
          <w:p w:rsidR="00163F6D" w:rsidRPr="000B7653" w:rsidRDefault="00163F6D" w:rsidP="00163F6D">
            <w:pPr>
              <w:rPr>
                <w:sz w:val="24"/>
                <w:szCs w:val="24"/>
              </w:rPr>
            </w:pPr>
            <w:r w:rsidRPr="000B7653">
              <w:rPr>
                <w:sz w:val="24"/>
                <w:szCs w:val="24"/>
              </w:rPr>
              <w:t>M8</w:t>
            </w:r>
          </w:p>
        </w:tc>
        <w:tc>
          <w:tcPr>
            <w:tcW w:w="1536" w:type="dxa"/>
          </w:tcPr>
          <w:p w:rsidR="00163F6D" w:rsidRPr="000B7653" w:rsidRDefault="00163F6D" w:rsidP="00163F6D">
            <w:pPr>
              <w:rPr>
                <w:sz w:val="24"/>
                <w:szCs w:val="24"/>
              </w:rPr>
            </w:pPr>
            <w:r w:rsidRPr="000B7653">
              <w:rPr>
                <w:sz w:val="24"/>
                <w:szCs w:val="24"/>
              </w:rPr>
              <w:t>M10</w:t>
            </w:r>
          </w:p>
        </w:tc>
        <w:tc>
          <w:tcPr>
            <w:tcW w:w="1536" w:type="dxa"/>
          </w:tcPr>
          <w:p w:rsidR="00163F6D" w:rsidRPr="000B7653" w:rsidRDefault="00163F6D" w:rsidP="00163F6D">
            <w:pPr>
              <w:rPr>
                <w:sz w:val="24"/>
                <w:szCs w:val="24"/>
              </w:rPr>
            </w:pPr>
            <w:r w:rsidRPr="000B7653">
              <w:rPr>
                <w:sz w:val="24"/>
                <w:szCs w:val="24"/>
              </w:rPr>
              <w:t>M14</w:t>
            </w:r>
          </w:p>
        </w:tc>
      </w:tr>
      <w:tr w:rsidR="00163F6D" w:rsidRPr="000B7653">
        <w:tc>
          <w:tcPr>
            <w:tcW w:w="1908" w:type="dxa"/>
          </w:tcPr>
          <w:p w:rsidR="00163F6D" w:rsidRPr="000B7653" w:rsidRDefault="00163F6D" w:rsidP="00163F6D">
            <w:pPr>
              <w:rPr>
                <w:sz w:val="24"/>
                <w:szCs w:val="24"/>
              </w:rPr>
            </w:pPr>
            <w:r w:rsidRPr="000B7653">
              <w:rPr>
                <w:sz w:val="24"/>
                <w:szCs w:val="24"/>
              </w:rPr>
              <w:t>UB</w:t>
            </w:r>
          </w:p>
        </w:tc>
        <w:tc>
          <w:tcPr>
            <w:tcW w:w="1162" w:type="dxa"/>
          </w:tcPr>
          <w:p w:rsidR="00163F6D" w:rsidRPr="000B7653" w:rsidRDefault="00163F6D" w:rsidP="00163F6D">
            <w:pPr>
              <w:rPr>
                <w:sz w:val="24"/>
                <w:szCs w:val="24"/>
              </w:rPr>
            </w:pPr>
            <w:r w:rsidRPr="000B7653">
              <w:rPr>
                <w:sz w:val="24"/>
                <w:szCs w:val="24"/>
              </w:rPr>
              <w:t>ca. 50 %</w:t>
            </w:r>
          </w:p>
        </w:tc>
        <w:tc>
          <w:tcPr>
            <w:tcW w:w="1535" w:type="dxa"/>
          </w:tcPr>
          <w:p w:rsidR="00163F6D" w:rsidRPr="000B7653" w:rsidRDefault="00163F6D" w:rsidP="00163F6D">
            <w:pPr>
              <w:rPr>
                <w:sz w:val="24"/>
                <w:szCs w:val="24"/>
              </w:rPr>
            </w:pPr>
            <w:r w:rsidRPr="000B7653">
              <w:rPr>
                <w:sz w:val="24"/>
                <w:szCs w:val="24"/>
              </w:rPr>
              <w:t>ca. 60 %</w:t>
            </w:r>
          </w:p>
        </w:tc>
        <w:tc>
          <w:tcPr>
            <w:tcW w:w="1535" w:type="dxa"/>
          </w:tcPr>
          <w:p w:rsidR="00163F6D" w:rsidRPr="000B7653" w:rsidRDefault="00163F6D" w:rsidP="00163F6D">
            <w:pPr>
              <w:rPr>
                <w:sz w:val="24"/>
                <w:szCs w:val="24"/>
              </w:rPr>
            </w:pPr>
            <w:r w:rsidRPr="000B7653">
              <w:rPr>
                <w:sz w:val="24"/>
                <w:szCs w:val="24"/>
              </w:rPr>
              <w:t>ca. 50 %</w:t>
            </w:r>
          </w:p>
        </w:tc>
        <w:tc>
          <w:tcPr>
            <w:tcW w:w="1536" w:type="dxa"/>
          </w:tcPr>
          <w:p w:rsidR="00163F6D" w:rsidRPr="000B7653" w:rsidRDefault="00163F6D" w:rsidP="00163F6D">
            <w:pPr>
              <w:rPr>
                <w:sz w:val="24"/>
                <w:szCs w:val="24"/>
              </w:rPr>
            </w:pPr>
            <w:r w:rsidRPr="000B7653">
              <w:rPr>
                <w:sz w:val="24"/>
                <w:szCs w:val="24"/>
              </w:rPr>
              <w:t>ca. 60 %</w:t>
            </w:r>
          </w:p>
        </w:tc>
        <w:tc>
          <w:tcPr>
            <w:tcW w:w="1536" w:type="dxa"/>
          </w:tcPr>
          <w:p w:rsidR="00163F6D" w:rsidRPr="000B7653" w:rsidRDefault="00163F6D" w:rsidP="00163F6D">
            <w:pPr>
              <w:rPr>
                <w:sz w:val="24"/>
                <w:szCs w:val="24"/>
              </w:rPr>
            </w:pPr>
            <w:r w:rsidRPr="000B7653">
              <w:rPr>
                <w:sz w:val="24"/>
                <w:szCs w:val="24"/>
              </w:rPr>
              <w:t>ca. 50 %</w:t>
            </w:r>
          </w:p>
        </w:tc>
      </w:tr>
      <w:tr w:rsidR="00163F6D" w:rsidRPr="000B7653">
        <w:tc>
          <w:tcPr>
            <w:tcW w:w="1908" w:type="dxa"/>
          </w:tcPr>
          <w:p w:rsidR="00163F6D" w:rsidRPr="000B7653" w:rsidRDefault="00163F6D" w:rsidP="00163F6D">
            <w:pPr>
              <w:rPr>
                <w:sz w:val="24"/>
                <w:szCs w:val="24"/>
              </w:rPr>
            </w:pPr>
            <w:r w:rsidRPr="000B7653">
              <w:rPr>
                <w:sz w:val="24"/>
                <w:szCs w:val="24"/>
              </w:rPr>
              <w:t>mdl. Mitarbeit</w:t>
            </w:r>
          </w:p>
          <w:p w:rsidR="00163F6D" w:rsidRPr="000B7653" w:rsidRDefault="00163F6D" w:rsidP="00163F6D">
            <w:pPr>
              <w:rPr>
                <w:sz w:val="24"/>
                <w:szCs w:val="24"/>
              </w:rPr>
            </w:pPr>
            <w:r w:rsidRPr="000B7653">
              <w:rPr>
                <w:sz w:val="24"/>
                <w:szCs w:val="24"/>
              </w:rPr>
              <w:t>bes. Leistung</w:t>
            </w:r>
            <w:r w:rsidRPr="000B7653">
              <w:rPr>
                <w:rStyle w:val="Funotenzeichen"/>
                <w:sz w:val="24"/>
                <w:szCs w:val="24"/>
              </w:rPr>
              <w:footnoteReference w:id="2"/>
            </w:r>
          </w:p>
        </w:tc>
        <w:tc>
          <w:tcPr>
            <w:tcW w:w="1162" w:type="dxa"/>
          </w:tcPr>
          <w:p w:rsidR="00163F6D" w:rsidRPr="000B7653" w:rsidRDefault="00163F6D" w:rsidP="00163F6D">
            <w:pPr>
              <w:rPr>
                <w:sz w:val="24"/>
                <w:szCs w:val="24"/>
              </w:rPr>
            </w:pPr>
            <w:r w:rsidRPr="000B7653">
              <w:rPr>
                <w:sz w:val="24"/>
                <w:szCs w:val="24"/>
              </w:rPr>
              <w:t>ca. 50 %</w:t>
            </w:r>
          </w:p>
        </w:tc>
        <w:tc>
          <w:tcPr>
            <w:tcW w:w="1535" w:type="dxa"/>
          </w:tcPr>
          <w:p w:rsidR="00163F6D" w:rsidRPr="000B7653" w:rsidRDefault="00163F6D" w:rsidP="00163F6D">
            <w:pPr>
              <w:rPr>
                <w:sz w:val="24"/>
                <w:szCs w:val="24"/>
              </w:rPr>
            </w:pPr>
            <w:r w:rsidRPr="000B7653">
              <w:rPr>
                <w:sz w:val="24"/>
                <w:szCs w:val="24"/>
              </w:rPr>
              <w:t>ca. 40 %</w:t>
            </w:r>
          </w:p>
        </w:tc>
        <w:tc>
          <w:tcPr>
            <w:tcW w:w="1535" w:type="dxa"/>
          </w:tcPr>
          <w:p w:rsidR="00163F6D" w:rsidRPr="000B7653" w:rsidRDefault="00163F6D" w:rsidP="00163F6D">
            <w:pPr>
              <w:rPr>
                <w:sz w:val="24"/>
                <w:szCs w:val="24"/>
              </w:rPr>
            </w:pPr>
            <w:r w:rsidRPr="000B7653">
              <w:rPr>
                <w:sz w:val="24"/>
                <w:szCs w:val="24"/>
              </w:rPr>
              <w:t>ca. 50 %</w:t>
            </w:r>
          </w:p>
        </w:tc>
        <w:tc>
          <w:tcPr>
            <w:tcW w:w="1536" w:type="dxa"/>
          </w:tcPr>
          <w:p w:rsidR="00163F6D" w:rsidRPr="000B7653" w:rsidRDefault="00163F6D" w:rsidP="00163F6D">
            <w:pPr>
              <w:rPr>
                <w:sz w:val="24"/>
                <w:szCs w:val="24"/>
              </w:rPr>
            </w:pPr>
            <w:r w:rsidRPr="000B7653">
              <w:rPr>
                <w:sz w:val="24"/>
                <w:szCs w:val="24"/>
              </w:rPr>
              <w:t>ca. 40 %</w:t>
            </w:r>
          </w:p>
        </w:tc>
        <w:tc>
          <w:tcPr>
            <w:tcW w:w="1536" w:type="dxa"/>
          </w:tcPr>
          <w:p w:rsidR="00163F6D" w:rsidRPr="000B7653" w:rsidRDefault="00163F6D" w:rsidP="00163F6D">
            <w:pPr>
              <w:rPr>
                <w:sz w:val="24"/>
                <w:szCs w:val="24"/>
              </w:rPr>
            </w:pPr>
            <w:r w:rsidRPr="000B7653">
              <w:rPr>
                <w:sz w:val="24"/>
                <w:szCs w:val="24"/>
              </w:rPr>
              <w:t>ca. 50 %</w:t>
            </w:r>
          </w:p>
        </w:tc>
      </w:tr>
      <w:tr w:rsidR="00163F6D">
        <w:tc>
          <w:tcPr>
            <w:tcW w:w="1908" w:type="dxa"/>
          </w:tcPr>
          <w:p w:rsidR="00163F6D" w:rsidRDefault="00163F6D" w:rsidP="00163F6D"/>
        </w:tc>
        <w:tc>
          <w:tcPr>
            <w:tcW w:w="1162" w:type="dxa"/>
          </w:tcPr>
          <w:p w:rsidR="00163F6D" w:rsidRDefault="00163F6D" w:rsidP="00163F6D">
            <w:r>
              <w:t>100 %</w:t>
            </w:r>
          </w:p>
        </w:tc>
        <w:tc>
          <w:tcPr>
            <w:tcW w:w="1535" w:type="dxa"/>
          </w:tcPr>
          <w:p w:rsidR="00163F6D" w:rsidRDefault="00163F6D" w:rsidP="00163F6D">
            <w:r>
              <w:t>100 %</w:t>
            </w:r>
          </w:p>
        </w:tc>
        <w:tc>
          <w:tcPr>
            <w:tcW w:w="1535" w:type="dxa"/>
          </w:tcPr>
          <w:p w:rsidR="00163F6D" w:rsidRDefault="00163F6D" w:rsidP="00163F6D">
            <w:r>
              <w:t>100 %</w:t>
            </w:r>
          </w:p>
        </w:tc>
        <w:tc>
          <w:tcPr>
            <w:tcW w:w="1536" w:type="dxa"/>
          </w:tcPr>
          <w:p w:rsidR="00163F6D" w:rsidRDefault="00163F6D" w:rsidP="00163F6D">
            <w:r>
              <w:t>100 %</w:t>
            </w:r>
          </w:p>
        </w:tc>
        <w:tc>
          <w:tcPr>
            <w:tcW w:w="1536" w:type="dxa"/>
          </w:tcPr>
          <w:p w:rsidR="00163F6D" w:rsidRDefault="00163F6D" w:rsidP="00163F6D">
            <w:r>
              <w:t>100 %</w:t>
            </w:r>
          </w:p>
        </w:tc>
      </w:tr>
    </w:tbl>
    <w:p w:rsidR="00163F6D" w:rsidRDefault="00163F6D" w:rsidP="00163F6D">
      <w:r>
        <w:t>(SR-Beschluss vom 24.10.07)</w:t>
      </w:r>
    </w:p>
    <w:p w:rsidR="00163F6D" w:rsidRDefault="00163F6D" w:rsidP="00163F6D"/>
    <w:p w:rsidR="00163F6D" w:rsidRDefault="00163F6D" w:rsidP="00163F6D">
      <w:pPr>
        <w:rPr>
          <w:b/>
          <w:sz w:val="24"/>
          <w:szCs w:val="24"/>
          <w:u w:val="single"/>
        </w:rPr>
      </w:pPr>
      <w:r>
        <w:rPr>
          <w:b/>
          <w:sz w:val="24"/>
          <w:szCs w:val="24"/>
          <w:u w:val="single"/>
        </w:rPr>
        <w:t>Modulgestaltung</w:t>
      </w:r>
    </w:p>
    <w:p w:rsidR="00163F6D" w:rsidRPr="00105B09" w:rsidRDefault="00163F6D" w:rsidP="00163F6D">
      <w:r>
        <w:rPr>
          <w:sz w:val="24"/>
          <w:szCs w:val="24"/>
        </w:rPr>
        <w:t xml:space="preserve">Der SR beschließt, die Ausbilder/innen sollen sich bei ihrer Modulgestaltung an dem Papier von W. Bauch „Grundsätzliche Überlegungen zur Didaktik und Methodik der Lehrerbildung in der Zweiten und Dritten Phase“ vom August 2010 orientieren. Die LiV orientieren sich bei der Gestaltung von Modulsequenzen ebenfalls an diesen Grundsätzen. Dadurch sind reine Theoriereferate ausgeschlossen. </w:t>
      </w:r>
      <w:r>
        <w:t>(genauer Text d. SR-Beschlusses vom 22.9.10 vgl. Homepage)</w:t>
      </w:r>
    </w:p>
    <w:p w:rsidR="00163F6D" w:rsidRPr="00105B09" w:rsidRDefault="00163F6D" w:rsidP="00163F6D">
      <w:pPr>
        <w:rPr>
          <w:sz w:val="24"/>
          <w:szCs w:val="24"/>
        </w:rPr>
      </w:pPr>
    </w:p>
    <w:p w:rsidR="00163F6D" w:rsidRDefault="00163F6D" w:rsidP="00163F6D">
      <w:pPr>
        <w:rPr>
          <w:b/>
          <w:sz w:val="24"/>
          <w:szCs w:val="24"/>
          <w:u w:val="single"/>
        </w:rPr>
      </w:pPr>
      <w:r>
        <w:rPr>
          <w:b/>
          <w:sz w:val="24"/>
          <w:szCs w:val="24"/>
          <w:u w:val="single"/>
        </w:rPr>
        <w:t>Leitlinien zur Evaluation in den Modulen</w:t>
      </w:r>
    </w:p>
    <w:p w:rsidR="00163F6D" w:rsidRPr="00105B09" w:rsidRDefault="00163F6D" w:rsidP="00163F6D">
      <w:pPr>
        <w:widowControl w:val="0"/>
        <w:suppressAutoHyphens/>
        <w:autoSpaceDN w:val="0"/>
        <w:rPr>
          <w:bCs/>
          <w:sz w:val="24"/>
          <w:szCs w:val="24"/>
        </w:rPr>
      </w:pPr>
      <w:r w:rsidRPr="00105B09">
        <w:rPr>
          <w:bCs/>
          <w:sz w:val="24"/>
          <w:szCs w:val="24"/>
        </w:rPr>
        <w:t>Die Evaluation erfolgt in den Modulen in vier Schritten/ Phasen:</w:t>
      </w:r>
    </w:p>
    <w:p w:rsidR="00163F6D" w:rsidRPr="00105B09" w:rsidRDefault="00163F6D" w:rsidP="00163F6D">
      <w:pPr>
        <w:pStyle w:val="FarbigeListe-Akzent1"/>
        <w:numPr>
          <w:ilvl w:val="0"/>
          <w:numId w:val="6"/>
        </w:numPr>
        <w:ind w:hanging="720"/>
        <w:rPr>
          <w:rFonts w:cs="Times New Roman"/>
          <w:bCs/>
        </w:rPr>
      </w:pPr>
      <w:r w:rsidRPr="00105B09">
        <w:rPr>
          <w:rFonts w:cs="Times New Roman"/>
          <w:bCs/>
        </w:rPr>
        <w:t>Evaluation  - diese kann mit dem seminarinternen Evaluationsbogen und dem</w:t>
      </w:r>
    </w:p>
    <w:p w:rsidR="00163F6D" w:rsidRPr="00105B09" w:rsidRDefault="00163F6D" w:rsidP="00163F6D">
      <w:pPr>
        <w:ind w:left="708"/>
        <w:rPr>
          <w:bCs/>
          <w:sz w:val="24"/>
          <w:szCs w:val="24"/>
        </w:rPr>
      </w:pPr>
      <w:r w:rsidRPr="00105B09">
        <w:rPr>
          <w:bCs/>
          <w:sz w:val="24"/>
          <w:szCs w:val="24"/>
        </w:rPr>
        <w:t>Zusatzbogen oder mit anderen angemessenen Evaluationsinstrumenten erfolgen</w:t>
      </w:r>
    </w:p>
    <w:p w:rsidR="00163F6D" w:rsidRPr="00105B09" w:rsidRDefault="00163F6D" w:rsidP="00163F6D">
      <w:pPr>
        <w:pStyle w:val="FarbigeListe-Akzent1"/>
        <w:numPr>
          <w:ilvl w:val="0"/>
          <w:numId w:val="5"/>
        </w:numPr>
        <w:ind w:hanging="720"/>
        <w:rPr>
          <w:rFonts w:cs="Times New Roman"/>
          <w:bCs/>
        </w:rPr>
      </w:pPr>
      <w:r w:rsidRPr="00105B09">
        <w:rPr>
          <w:rFonts w:cs="Times New Roman"/>
          <w:bCs/>
        </w:rPr>
        <w:t>Austausch der unterschiedlichen Perspektiven beider Seiten im Auswertungsgespräch</w:t>
      </w:r>
    </w:p>
    <w:p w:rsidR="00163F6D" w:rsidRPr="00105B09" w:rsidRDefault="00163F6D" w:rsidP="00163F6D">
      <w:pPr>
        <w:pStyle w:val="FarbigeListe-Akzent1"/>
        <w:numPr>
          <w:ilvl w:val="0"/>
          <w:numId w:val="5"/>
        </w:numPr>
        <w:ind w:hanging="720"/>
        <w:rPr>
          <w:rFonts w:cs="Times New Roman"/>
          <w:bCs/>
        </w:rPr>
      </w:pPr>
      <w:r w:rsidRPr="00105B09">
        <w:rPr>
          <w:rFonts w:cs="Times New Roman"/>
          <w:bCs/>
        </w:rPr>
        <w:t>Absprachen für die weitere Modulgestaltung</w:t>
      </w:r>
    </w:p>
    <w:p w:rsidR="00163F6D" w:rsidRPr="00105B09" w:rsidRDefault="00163F6D" w:rsidP="00163F6D">
      <w:pPr>
        <w:pStyle w:val="FarbigeListe-Akzent1"/>
        <w:numPr>
          <w:ilvl w:val="0"/>
          <w:numId w:val="5"/>
        </w:numPr>
        <w:ind w:hanging="720"/>
        <w:rPr>
          <w:rFonts w:cs="Times New Roman"/>
          <w:bCs/>
        </w:rPr>
      </w:pPr>
      <w:r w:rsidRPr="00105B09">
        <w:rPr>
          <w:rFonts w:cs="Times New Roman"/>
          <w:bCs/>
        </w:rPr>
        <w:t>Thematisierung der Absprachen in der 1. Sitzung des Folgemoduls</w:t>
      </w:r>
    </w:p>
    <w:p w:rsidR="00163F6D" w:rsidRPr="00CD0276" w:rsidRDefault="00163F6D" w:rsidP="00163F6D">
      <w:pPr>
        <w:rPr>
          <w:b/>
        </w:rPr>
      </w:pPr>
      <w:r w:rsidRPr="00105B09">
        <w:rPr>
          <w:bCs/>
          <w:sz w:val="24"/>
          <w:szCs w:val="24"/>
        </w:rPr>
        <w:t>(</w:t>
      </w:r>
      <w:r>
        <w:rPr>
          <w:rFonts w:ascii="Arial" w:hAnsi="Arial"/>
          <w:bCs/>
        </w:rPr>
        <w:t>SR-Beschluss vom 9.11.</w:t>
      </w:r>
      <w:r w:rsidRPr="00CD0276">
        <w:rPr>
          <w:rFonts w:ascii="Arial" w:hAnsi="Arial"/>
          <w:bCs/>
        </w:rPr>
        <w:t>09)</w:t>
      </w:r>
    </w:p>
    <w:p w:rsidR="00163F6D" w:rsidRDefault="00163F6D" w:rsidP="00163F6D">
      <w:pPr>
        <w:rPr>
          <w:b/>
          <w:sz w:val="24"/>
          <w:szCs w:val="24"/>
        </w:rPr>
      </w:pPr>
    </w:p>
    <w:p w:rsidR="00163F6D" w:rsidRPr="00D40822" w:rsidRDefault="00163F6D" w:rsidP="00163F6D">
      <w:pPr>
        <w:rPr>
          <w:b/>
          <w:sz w:val="24"/>
          <w:szCs w:val="24"/>
          <w:u w:val="single"/>
        </w:rPr>
      </w:pPr>
      <w:r>
        <w:rPr>
          <w:b/>
          <w:sz w:val="24"/>
          <w:szCs w:val="24"/>
          <w:u w:val="single"/>
        </w:rPr>
        <w:t>Pädagogische Prüfungsarbeit</w:t>
      </w:r>
    </w:p>
    <w:p w:rsidR="00163F6D" w:rsidRPr="00CD0276" w:rsidRDefault="00163F6D" w:rsidP="00163F6D">
      <w:r w:rsidRPr="00D40822">
        <w:rPr>
          <w:sz w:val="24"/>
          <w:szCs w:val="24"/>
        </w:rPr>
        <w:t xml:space="preserve">Der Seminarrat beschließt die Höchstzahl der zu betreuenden Pädagogischen Prüfungsarbeiten auf fünf Arbeiten festzulegen, einschließlich der Arbeiten aus dem Studienseminar Gießen. Dem Aushandlungsprozess soll die  Priorität gegenüber dem Losverfahren gewährt werden. </w:t>
      </w:r>
      <w:r>
        <w:rPr>
          <w:sz w:val="24"/>
          <w:szCs w:val="24"/>
        </w:rPr>
        <w:t xml:space="preserve">  </w:t>
      </w:r>
      <w:r w:rsidRPr="00CD0276">
        <w:t>(SR-Beschluss vom 6.11.08)</w:t>
      </w:r>
    </w:p>
    <w:p w:rsidR="00163F6D" w:rsidRDefault="00163F6D" w:rsidP="00163F6D">
      <w:pPr>
        <w:rPr>
          <w:sz w:val="24"/>
          <w:szCs w:val="24"/>
        </w:rPr>
      </w:pPr>
    </w:p>
    <w:p w:rsidR="00163F6D" w:rsidRPr="00D40822" w:rsidRDefault="00163F6D" w:rsidP="00163F6D">
      <w:pPr>
        <w:rPr>
          <w:b/>
          <w:sz w:val="24"/>
          <w:szCs w:val="24"/>
          <w:u w:val="single"/>
        </w:rPr>
      </w:pPr>
      <w:r w:rsidRPr="00D40822">
        <w:rPr>
          <w:b/>
          <w:sz w:val="24"/>
          <w:szCs w:val="24"/>
          <w:u w:val="single"/>
        </w:rPr>
        <w:t>Vorgaben für Unterrichtsbesuche</w:t>
      </w:r>
    </w:p>
    <w:p w:rsidR="00163F6D" w:rsidRPr="00D40822" w:rsidRDefault="00163F6D" w:rsidP="00163F6D">
      <w:pPr>
        <w:rPr>
          <w:sz w:val="24"/>
          <w:szCs w:val="24"/>
        </w:rPr>
      </w:pPr>
      <w:r w:rsidRPr="00D40822">
        <w:rPr>
          <w:sz w:val="24"/>
          <w:szCs w:val="24"/>
        </w:rPr>
        <w:t>Pro Fach müssen mindestens 2 Unterrichtsbesuche in der Sekundarstufe I und mindestens 2 Unterrichtsbesuche  in der Sek. II durchgeführt werden. Das Verhältnis von Sek.I - zu Sek.II-Besuchen darf also 2:4, 4:2 oder (möglichst) 3:3 betragen.</w:t>
      </w:r>
    </w:p>
    <w:p w:rsidR="00163F6D" w:rsidRPr="00D40822" w:rsidRDefault="00163F6D" w:rsidP="00163F6D">
      <w:pPr>
        <w:rPr>
          <w:sz w:val="24"/>
          <w:szCs w:val="24"/>
        </w:rPr>
      </w:pPr>
      <w:r w:rsidRPr="00D40822">
        <w:rPr>
          <w:sz w:val="24"/>
          <w:szCs w:val="24"/>
        </w:rPr>
        <w:t>Die sechs Unterrichtsbesuche pro Fach müssen in mindestens drei Lerngruppen stattfinden.</w:t>
      </w:r>
    </w:p>
    <w:p w:rsidR="00163F6D" w:rsidRDefault="00163F6D" w:rsidP="00163F6D">
      <w:pPr>
        <w:rPr>
          <w:sz w:val="24"/>
          <w:szCs w:val="24"/>
        </w:rPr>
      </w:pPr>
      <w:r w:rsidRPr="00D40822">
        <w:rPr>
          <w:sz w:val="24"/>
          <w:szCs w:val="24"/>
        </w:rPr>
        <w:t>In der Wahl der Lerngruppen für die Prüfungslehrproben ist die LiV im Rahmen der gesetzlichen Vorgaben (Sek. I + Sek. II) frei.  Ausbilder/innen und Prüfer/innen dürfen  in dieser Hinsicht keine Einschränkungen vornehmen.</w:t>
      </w:r>
    </w:p>
    <w:p w:rsidR="00163F6D" w:rsidRPr="00834E55" w:rsidRDefault="00163F6D" w:rsidP="00163F6D">
      <w:r w:rsidRPr="00CD0276">
        <w:t>(SR-Beschluss vom 18.1.2011)</w:t>
      </w:r>
    </w:p>
    <w:sectPr w:rsidR="00163F6D" w:rsidRPr="00834E55" w:rsidSect="00163F6D">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6D" w:rsidRDefault="00163F6D">
      <w:r>
        <w:separator/>
      </w:r>
    </w:p>
  </w:endnote>
  <w:endnote w:type="continuationSeparator" w:id="0">
    <w:p w:rsidR="00163F6D" w:rsidRDefault="0016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chtig Extra Bold D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6D" w:rsidRDefault="00163F6D">
      <w:r>
        <w:separator/>
      </w:r>
    </w:p>
  </w:footnote>
  <w:footnote w:type="continuationSeparator" w:id="0">
    <w:p w:rsidR="00163F6D" w:rsidRDefault="00163F6D">
      <w:r>
        <w:continuationSeparator/>
      </w:r>
    </w:p>
  </w:footnote>
  <w:footnote w:id="1">
    <w:p w:rsidR="00163F6D" w:rsidRDefault="00163F6D" w:rsidP="00163F6D">
      <w:pPr>
        <w:pStyle w:val="Funotentext"/>
      </w:pPr>
      <w:r>
        <w:rPr>
          <w:rStyle w:val="Funotenzeichen"/>
        </w:rPr>
        <w:footnoteRef/>
      </w:r>
      <w:r>
        <w:t xml:space="preserve"> Die Aufteilung dieser Bereiche wird in der 1. Modulsitzung bekannt gegeben.</w:t>
      </w:r>
    </w:p>
  </w:footnote>
  <w:footnote w:id="2">
    <w:p w:rsidR="00163F6D" w:rsidRDefault="00163F6D" w:rsidP="00163F6D">
      <w:pPr>
        <w:pStyle w:val="Funotentext"/>
      </w:pPr>
      <w:r>
        <w:rPr>
          <w:rStyle w:val="Funotenzeichen"/>
        </w:rPr>
        <w:footnoteRef/>
      </w:r>
      <w:r>
        <w:t xml:space="preserve"> Die Aufteilung dieser Bereiche wird in der 1. Modulsitzung bekannt gegeben.</w:t>
      </w:r>
    </w:p>
    <w:p w:rsidR="00163F6D" w:rsidRDefault="00163F6D" w:rsidP="00163F6D">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348"/>
    <w:multiLevelType w:val="hybridMultilevel"/>
    <w:tmpl w:val="B4CEECD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6023B"/>
    <w:multiLevelType w:val="hybridMultilevel"/>
    <w:tmpl w:val="B1327EA4"/>
    <w:lvl w:ilvl="0" w:tplc="5148CA5C">
      <w:numFmt w:val="bullet"/>
      <w:lvlText w:val="-"/>
      <w:lvlJc w:val="left"/>
      <w:pPr>
        <w:tabs>
          <w:tab w:val="num" w:pos="720"/>
        </w:tabs>
        <w:ind w:left="72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C19DC"/>
    <w:multiLevelType w:val="hybridMultilevel"/>
    <w:tmpl w:val="F9CEE1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543212"/>
    <w:multiLevelType w:val="hybridMultilevel"/>
    <w:tmpl w:val="FB741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B67B9D"/>
    <w:multiLevelType w:val="hybridMultilevel"/>
    <w:tmpl w:val="5A805F08"/>
    <w:lvl w:ilvl="0" w:tplc="000D0407">
      <w:start w:val="1"/>
      <w:numFmt w:val="bullet"/>
      <w:lvlText w:val=""/>
      <w:lvlJc w:val="left"/>
      <w:pPr>
        <w:tabs>
          <w:tab w:val="num" w:pos="360"/>
        </w:tabs>
        <w:ind w:left="360" w:hanging="360"/>
      </w:pPr>
      <w:rPr>
        <w:rFonts w:ascii="Wingdings" w:hAnsi="Wingdings" w:hint="default"/>
      </w:rPr>
    </w:lvl>
    <w:lvl w:ilvl="1" w:tplc="A23802BE">
      <w:start w:val="1"/>
      <w:numFmt w:val="bullet"/>
      <w:lvlText w:val=""/>
      <w:lvlJc w:val="left"/>
      <w:pPr>
        <w:tabs>
          <w:tab w:val="num" w:pos="1080"/>
        </w:tabs>
        <w:ind w:left="1080" w:hanging="360"/>
      </w:pPr>
      <w:rPr>
        <w:rFonts w:ascii="Wingdings" w:hAnsi="Wingdings"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1C3A21"/>
    <w:multiLevelType w:val="multilevel"/>
    <w:tmpl w:val="A34AE7D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4"/>
  </w:num>
  <w:num w:numId="2">
    <w:abstractNumId w:val="0"/>
  </w:num>
  <w:num w:numId="3">
    <w:abstractNumId w:val="1"/>
  </w:num>
  <w:num w:numId="4">
    <w:abstractNumId w:val="5"/>
    <w:lvlOverride w:ilvl="0"/>
    <w:lvlOverride w:ilvl="1"/>
    <w:lvlOverride w:ilvl="2"/>
    <w:lvlOverride w:ilvl="3"/>
    <w:lvlOverride w:ilvl="4"/>
    <w:lvlOverride w:ilvl="5"/>
    <w:lvlOverride w:ilvl="6"/>
    <w:lvlOverride w:ilvl="7"/>
    <w:lvlOverride w:ilvl="8"/>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A5"/>
    <w:rsid w:val="00163F6D"/>
    <w:rsid w:val="00D07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F75F03-9E87-49E5-B131-7103BEC0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23A5"/>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25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DC2E97"/>
  </w:style>
  <w:style w:type="character" w:styleId="Funotenzeichen">
    <w:name w:val="footnote reference"/>
    <w:basedOn w:val="Absatz-Standardschriftart"/>
    <w:semiHidden/>
    <w:rsid w:val="00DC2E97"/>
    <w:rPr>
      <w:vertAlign w:val="superscript"/>
    </w:rPr>
  </w:style>
  <w:style w:type="paragraph" w:styleId="FarbigeListe-Akzent1">
    <w:name w:val="Colorful List Accent 1"/>
    <w:basedOn w:val="Standard"/>
    <w:uiPriority w:val="34"/>
    <w:qFormat/>
    <w:rsid w:val="00CD0276"/>
    <w:pPr>
      <w:widowControl w:val="0"/>
      <w:suppressAutoHyphens/>
      <w:autoSpaceDN w:val="0"/>
      <w:ind w:left="720"/>
      <w:contextualSpacing/>
    </w:pPr>
    <w:rPr>
      <w:rFonts w:eastAsia="Lucida Sans Unicode"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4898</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STUDIENSEMINAR FÜR DAS LEHRAMT AN GYMNASIEN-MARBURG</vt:lpstr>
      <vt:lpstr>STUDIENSEMINAR FÜR DAS LEHRAMT AN GYMNASIEN-MARBURG</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STUDIENSEMINAR FÜR DAS LEHRAMT AN GYMNASIEN-MARBURG</dc:title>
  <dc:subject/>
  <dc:creator>Dietmar von der Ahe</dc:creator>
  <cp:keywords/>
  <dc:description/>
  <cp:lastModifiedBy>Osterhold, Nathalie (LA MR)</cp:lastModifiedBy>
  <cp:revision>2</cp:revision>
  <cp:lastPrinted>2011-02-02T08:32:00Z</cp:lastPrinted>
  <dcterms:created xsi:type="dcterms:W3CDTF">2020-01-13T13:58:00Z</dcterms:created>
  <dcterms:modified xsi:type="dcterms:W3CDTF">2020-01-13T13:58:00Z</dcterms:modified>
</cp:coreProperties>
</file>