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3" w:rsidRDefault="007D77D3" w:rsidP="00BC7842">
      <w:pPr>
        <w:jc w:val="center"/>
        <w:rPr>
          <w:sz w:val="32"/>
        </w:rPr>
      </w:pPr>
      <w:bookmarkStart w:id="0" w:name="Zusatz"/>
      <w:bookmarkEnd w:id="0"/>
    </w:p>
    <w:p w:rsidR="007D77D3" w:rsidRDefault="007D77D3" w:rsidP="00BC7842">
      <w:pPr>
        <w:jc w:val="center"/>
        <w:rPr>
          <w:sz w:val="32"/>
        </w:rPr>
      </w:pPr>
    </w:p>
    <w:p w:rsidR="00EC687F" w:rsidRDefault="00BC7842" w:rsidP="00BC7842">
      <w:pPr>
        <w:jc w:val="center"/>
        <w:rPr>
          <w:sz w:val="32"/>
        </w:rPr>
      </w:pPr>
      <w:r w:rsidRPr="00CB1D31">
        <w:rPr>
          <w:sz w:val="32"/>
        </w:rPr>
        <w:t xml:space="preserve">Bescheinigung über den Arbeitsumfang </w:t>
      </w:r>
    </w:p>
    <w:p w:rsidR="00BC7842" w:rsidRPr="00CB1D31" w:rsidRDefault="00CB1D31" w:rsidP="00BC7842">
      <w:pPr>
        <w:jc w:val="center"/>
        <w:rPr>
          <w:sz w:val="32"/>
        </w:rPr>
      </w:pPr>
      <w:r w:rsidRPr="00CB1D31">
        <w:rPr>
          <w:sz w:val="32"/>
        </w:rPr>
        <w:t xml:space="preserve">im </w:t>
      </w:r>
      <w:r w:rsidR="00EC687F">
        <w:rPr>
          <w:sz w:val="32"/>
        </w:rPr>
        <w:t xml:space="preserve">pädagogischen </w:t>
      </w:r>
      <w:r w:rsidRPr="00CB1D31">
        <w:rPr>
          <w:sz w:val="32"/>
        </w:rPr>
        <w:t>Vorbereitungsdienst</w:t>
      </w:r>
    </w:p>
    <w:p w:rsidR="00BC7842" w:rsidRDefault="00BC7842" w:rsidP="00BC7842">
      <w:pPr>
        <w:jc w:val="both"/>
      </w:pPr>
    </w:p>
    <w:p w:rsidR="0002746E" w:rsidRDefault="0002746E" w:rsidP="00BC7842">
      <w:pPr>
        <w:jc w:val="both"/>
      </w:pPr>
    </w:p>
    <w:p w:rsidR="001C5B2A" w:rsidRDefault="001C5B2A" w:rsidP="00BC7842">
      <w:pPr>
        <w:jc w:val="both"/>
      </w:pPr>
    </w:p>
    <w:p w:rsidR="00BC7842" w:rsidRDefault="00CB1D31" w:rsidP="00BC7842">
      <w:pPr>
        <w:jc w:val="both"/>
      </w:pPr>
      <w:r>
        <w:t xml:space="preserve">Der </w:t>
      </w:r>
      <w:r w:rsidR="00EC687F">
        <w:t xml:space="preserve">pädagogische </w:t>
      </w:r>
      <w:r>
        <w:t>Vorbereitungsdienst umfasst i.d.R. den Umfang von 21 Monaten und beginnt am 1.</w:t>
      </w:r>
      <w:r w:rsidR="00AC6F0E">
        <w:t xml:space="preserve"> </w:t>
      </w:r>
      <w:r>
        <w:t>Mai oder am 1.</w:t>
      </w:r>
      <w:r w:rsidR="00AC6F0E">
        <w:t xml:space="preserve"> </w:t>
      </w:r>
      <w:r>
        <w:t>November</w:t>
      </w:r>
      <w:r w:rsidR="0002746E">
        <w:t xml:space="preserve"> und endet i.d.R. am 31.</w:t>
      </w:r>
      <w:r w:rsidR="00AC6F0E">
        <w:t xml:space="preserve"> </w:t>
      </w:r>
      <w:r w:rsidR="0002746E">
        <w:t>Januar oder am 31.</w:t>
      </w:r>
      <w:r w:rsidR="00AC6F0E">
        <w:t xml:space="preserve"> </w:t>
      </w:r>
      <w:r w:rsidR="0002746E">
        <w:t>Juli</w:t>
      </w:r>
      <w:r>
        <w:t>.</w:t>
      </w:r>
    </w:p>
    <w:p w:rsidR="00CB1D31" w:rsidRDefault="00CB1D31" w:rsidP="00BC7842">
      <w:pPr>
        <w:jc w:val="both"/>
      </w:pPr>
    </w:p>
    <w:p w:rsidR="00CB1D31" w:rsidRDefault="00CB1D31" w:rsidP="00BC7842">
      <w:pPr>
        <w:jc w:val="both"/>
      </w:pPr>
      <w:r>
        <w:t>Lehrkräfte im Vorbereitungsdienst haben eine wöchentliche Regelarbeitszeit von 4</w:t>
      </w:r>
      <w:r w:rsidR="00A11463">
        <w:t>1</w:t>
      </w:r>
      <w:bookmarkStart w:id="1" w:name="_GoBack"/>
      <w:bookmarkEnd w:id="1"/>
      <w:r>
        <w:t xml:space="preserve"> Stunden</w:t>
      </w:r>
      <w:r w:rsidR="00BC7842">
        <w:t>.</w:t>
      </w:r>
      <w:r>
        <w:t xml:space="preserve"> Diese teilt sich auf in Unterrichtsverpflichtung mit Vor- und Nachbere</w:t>
      </w:r>
      <w:r>
        <w:t>i</w:t>
      </w:r>
      <w:r>
        <w:t>tung, Korrekturen von Schülerarbeiten sowie Teilnahme an Konferenzen und A</w:t>
      </w:r>
      <w:r>
        <w:t>r</w:t>
      </w:r>
      <w:r>
        <w:t>beitsgruppen an der Ausbildungsschule und auf die Ausbildungsveranstaltungen und Ausbildungsmodule des Studienseminars mit Vor- und Nachbereitung sowie die in diesem Zusammenhang stehenden Unterrichtsbesuche, die der Bewertung zugrunde</w:t>
      </w:r>
      <w:r w:rsidR="0002746E">
        <w:t xml:space="preserve"> </w:t>
      </w:r>
      <w:r>
        <w:t xml:space="preserve">liegen. </w:t>
      </w:r>
      <w:r w:rsidR="000D29BC" w:rsidRPr="007D77D3">
        <w:t xml:space="preserve">Hinzu </w:t>
      </w:r>
      <w:r w:rsidR="009B108B">
        <w:t>kommen</w:t>
      </w:r>
      <w:r w:rsidR="000D29BC" w:rsidRPr="007D77D3">
        <w:t xml:space="preserve"> die Anfertigung einer Pädagogischen Facharbeit, deren Note ebenfalls in das Abschlusszeugnis eingeht</w:t>
      </w:r>
      <w:r w:rsidR="007E28C1">
        <w:t>,</w:t>
      </w:r>
      <w:r w:rsidR="000D29BC" w:rsidRPr="007D77D3">
        <w:t xml:space="preserve"> sowie die Vorbereitung auf das </w:t>
      </w:r>
      <w:r w:rsidR="003734D8" w:rsidRPr="007D77D3">
        <w:t>Zweite Staatsexamen</w:t>
      </w:r>
      <w:r w:rsidR="000D29BC" w:rsidRPr="007D77D3">
        <w:t>.</w:t>
      </w:r>
      <w:r w:rsidR="000D29BC">
        <w:t xml:space="preserve"> </w:t>
      </w:r>
    </w:p>
    <w:p w:rsidR="0002746E" w:rsidRDefault="0002746E" w:rsidP="00BC7842">
      <w:pPr>
        <w:jc w:val="both"/>
      </w:pPr>
    </w:p>
    <w:p w:rsidR="000D29BC" w:rsidRDefault="001C5B2A" w:rsidP="00BC7842">
      <w:pPr>
        <w:jc w:val="both"/>
      </w:pPr>
      <w:r>
        <w:t xml:space="preserve">Die Lehrkräfte im Vorbereitungsunterricht haben i.d.R. Unterrichtsverpflichtungen an 3-4 Wochentagen an der Schule </w:t>
      </w:r>
      <w:r w:rsidR="003734D8" w:rsidRPr="007D77D3">
        <w:t xml:space="preserve">mit wechselnden Zeitfenstern </w:t>
      </w:r>
      <w:r w:rsidRPr="007D77D3">
        <w:t>sowie Ausbi</w:t>
      </w:r>
      <w:r w:rsidRPr="007D77D3">
        <w:t>l</w:t>
      </w:r>
      <w:r w:rsidRPr="007D77D3">
        <w:t xml:space="preserve">dungsveranstaltungen und Modulveranstaltungen am Studienseminar an </w:t>
      </w:r>
      <w:r w:rsidR="000D29BC" w:rsidRPr="007D77D3">
        <w:t>ein bis zwei</w:t>
      </w:r>
      <w:r w:rsidRPr="007D77D3">
        <w:t xml:space="preserve"> Wochentag</w:t>
      </w:r>
      <w:r w:rsidR="000D29BC" w:rsidRPr="007D77D3">
        <w:t>en</w:t>
      </w:r>
      <w:r w:rsidRPr="007D77D3">
        <w:t xml:space="preserve"> in </w:t>
      </w:r>
      <w:r>
        <w:t xml:space="preserve">Zeitfenstern zwischen 8:00 Uhr und 19:30 Uhr. </w:t>
      </w:r>
    </w:p>
    <w:p w:rsidR="007D77D3" w:rsidRDefault="007D77D3" w:rsidP="00BC7842">
      <w:pPr>
        <w:jc w:val="both"/>
      </w:pPr>
    </w:p>
    <w:p w:rsidR="000D29BC" w:rsidRDefault="0002746E" w:rsidP="00BC7842">
      <w:pPr>
        <w:jc w:val="both"/>
      </w:pPr>
      <w:r w:rsidRPr="007D77D3">
        <w:t xml:space="preserve">Die Anforderungen der Ausbildung erfordern neben den Präsenzzeiten eine intensive häusliche </w:t>
      </w:r>
      <w:r w:rsidR="00AC6F0E">
        <w:t>Vor- und Nachbereitung</w:t>
      </w:r>
      <w:r w:rsidRPr="007D77D3">
        <w:t>,</w:t>
      </w:r>
      <w:r w:rsidR="00FE7065" w:rsidRPr="007D77D3">
        <w:t xml:space="preserve"> die </w:t>
      </w:r>
      <w:r w:rsidR="003734D8" w:rsidRPr="007D77D3">
        <w:t xml:space="preserve">wegen der </w:t>
      </w:r>
      <w:r w:rsidR="008E3444" w:rsidRPr="007D77D3">
        <w:t xml:space="preserve">hohen </w:t>
      </w:r>
      <w:r w:rsidR="003734D8" w:rsidRPr="007D77D3">
        <w:t>Verantwortung, die mit i</w:t>
      </w:r>
      <w:r w:rsidR="003734D8" w:rsidRPr="007D77D3">
        <w:t>h</w:t>
      </w:r>
      <w:r w:rsidR="003734D8" w:rsidRPr="007D77D3">
        <w:t xml:space="preserve">rer Tätigkeit verbunden </w:t>
      </w:r>
      <w:r w:rsidR="003734D8" w:rsidRPr="007E28C1">
        <w:t>ist</w:t>
      </w:r>
      <w:r w:rsidR="009B108B" w:rsidRPr="007E28C1">
        <w:t xml:space="preserve"> </w:t>
      </w:r>
      <w:r w:rsidR="003734D8" w:rsidRPr="007E28C1">
        <w:t>sowie</w:t>
      </w:r>
      <w:r w:rsidR="003734D8" w:rsidRPr="007D77D3">
        <w:t xml:space="preserve"> </w:t>
      </w:r>
      <w:r w:rsidR="00FE7065" w:rsidRPr="007D77D3">
        <w:t>aufgrund der regelmäßigen Bewertungssituation</w:t>
      </w:r>
      <w:r w:rsidR="00FE7065">
        <w:t xml:space="preserve"> einer verlässlichen </w:t>
      </w:r>
      <w:r w:rsidR="00EC687F">
        <w:t xml:space="preserve">Planbarkeit </w:t>
      </w:r>
      <w:r w:rsidR="00FE7065">
        <w:t xml:space="preserve">unterliegen muss. </w:t>
      </w:r>
    </w:p>
    <w:p w:rsidR="000D29BC" w:rsidRDefault="000D29BC" w:rsidP="00BC7842">
      <w:pPr>
        <w:jc w:val="both"/>
      </w:pPr>
    </w:p>
    <w:p w:rsidR="001C5B2A" w:rsidRDefault="001C5B2A" w:rsidP="00BC7842">
      <w:pPr>
        <w:jc w:val="both"/>
      </w:pPr>
    </w:p>
    <w:p w:rsidR="001C5B2A" w:rsidRDefault="000D29BC" w:rsidP="00BC7842">
      <w:pPr>
        <w:jc w:val="both"/>
      </w:pPr>
      <w:r w:rsidRPr="007D77D3">
        <w:t>Für Lehrkräfte im Vorbereitungsdienst mit Kindern ist von daher eine verlässliche Betreuungssituation für ihre Kinder von sehr großer Bedeutung.</w:t>
      </w:r>
      <w:r>
        <w:t xml:space="preserve">  </w:t>
      </w:r>
    </w:p>
    <w:p w:rsidR="001C5B2A" w:rsidRDefault="001C5B2A" w:rsidP="00BC7842">
      <w:pPr>
        <w:jc w:val="both"/>
      </w:pPr>
    </w:p>
    <w:p w:rsidR="001C5B2A" w:rsidRDefault="001C5B2A" w:rsidP="00BC7842">
      <w:pPr>
        <w:jc w:val="both"/>
      </w:pPr>
    </w:p>
    <w:p w:rsidR="001C5B2A" w:rsidRDefault="001C5B2A" w:rsidP="00BC7842">
      <w:pPr>
        <w:jc w:val="both"/>
      </w:pPr>
    </w:p>
    <w:p w:rsidR="001C5B2A" w:rsidRDefault="001C5B2A" w:rsidP="00BC7842">
      <w:pPr>
        <w:jc w:val="both"/>
      </w:pPr>
    </w:p>
    <w:p w:rsidR="001C5B2A" w:rsidRDefault="001C5B2A" w:rsidP="00BC7842">
      <w:pPr>
        <w:jc w:val="both"/>
      </w:pPr>
      <w:r>
        <w:t>___________________________</w:t>
      </w:r>
    </w:p>
    <w:p w:rsidR="00CB1D31" w:rsidRDefault="001C5B2A" w:rsidP="00BC7842">
      <w:pPr>
        <w:jc w:val="both"/>
      </w:pPr>
      <w:r>
        <w:tab/>
        <w:t>(Seminarleitung)</w:t>
      </w:r>
      <w:r w:rsidR="00FE7065">
        <w:tab/>
      </w:r>
    </w:p>
    <w:sectPr w:rsidR="00CB1D31" w:rsidSect="007E268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603" w:right="1985" w:bottom="567" w:left="1701" w:header="567" w:footer="49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0E" w:rsidRDefault="00AC6F0E">
      <w:r>
        <w:separator/>
      </w:r>
    </w:p>
  </w:endnote>
  <w:endnote w:type="continuationSeparator" w:id="0">
    <w:p w:rsidR="00AC6F0E" w:rsidRDefault="00A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0E" w:rsidRDefault="00AC6F0E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68"/>
      <w:gridCol w:w="2505"/>
      <w:gridCol w:w="3838"/>
    </w:tblGrid>
    <w:tr w:rsidR="00AC6F0E" w:rsidRPr="00494B4C" w:rsidTr="00494B4C">
      <w:trPr>
        <w:trHeight w:val="290"/>
      </w:trPr>
      <w:tc>
        <w:tcPr>
          <w:tcW w:w="2768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AC6F0E" w:rsidRPr="00D94A8B" w:rsidRDefault="00AC6F0E" w:rsidP="00494B4C">
          <w:pPr>
            <w:pStyle w:val="Fuzeile"/>
            <w:tabs>
              <w:tab w:val="left" w:pos="564"/>
            </w:tabs>
            <w:ind w:left="564" w:hanging="567"/>
            <w:jc w:val="right"/>
            <w:rPr>
              <w:rFonts w:cs="Arial"/>
              <w:szCs w:val="14"/>
            </w:rPr>
          </w:pPr>
        </w:p>
      </w:tc>
      <w:tc>
        <w:tcPr>
          <w:tcW w:w="2505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AC6F0E" w:rsidRPr="00D94A8B" w:rsidRDefault="00AC6F0E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3838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AC6F0E" w:rsidRPr="00494B4C" w:rsidRDefault="00AC6F0E" w:rsidP="00494B4C">
          <w:pPr>
            <w:pStyle w:val="Fuzeile"/>
            <w:jc w:val="right"/>
            <w:rPr>
              <w:sz w:val="12"/>
              <w:szCs w:val="12"/>
            </w:rPr>
          </w:pPr>
          <w:r w:rsidRPr="00494B4C">
            <w:rPr>
              <w:sz w:val="12"/>
              <w:szCs w:val="12"/>
            </w:rPr>
            <w:fldChar w:fldCharType="begin"/>
          </w:r>
          <w:r w:rsidRPr="00494B4C">
            <w:rPr>
              <w:sz w:val="12"/>
              <w:szCs w:val="12"/>
            </w:rPr>
            <w:instrText xml:space="preserve"> FILENAME   \* MERGEFORMAT </w:instrText>
          </w:r>
          <w:r w:rsidRPr="00494B4C">
            <w:rPr>
              <w:sz w:val="12"/>
              <w:szCs w:val="12"/>
            </w:rPr>
            <w:fldChar w:fldCharType="separate"/>
          </w:r>
          <w:r w:rsidR="00A009D8">
            <w:rPr>
              <w:noProof/>
              <w:sz w:val="12"/>
              <w:szCs w:val="12"/>
            </w:rPr>
            <w:t>Bescheinigung_Referendariat_2017-11-06.docx</w:t>
          </w:r>
          <w:r w:rsidRPr="00494B4C">
            <w:rPr>
              <w:sz w:val="12"/>
              <w:szCs w:val="12"/>
            </w:rPr>
            <w:fldChar w:fldCharType="end"/>
          </w:r>
        </w:p>
      </w:tc>
    </w:tr>
  </w:tbl>
  <w:p w:rsidR="00AC6F0E" w:rsidRPr="007A399C" w:rsidRDefault="00AC6F0E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0E" w:rsidRDefault="00AC6F0E">
      <w:r>
        <w:separator/>
      </w:r>
    </w:p>
  </w:footnote>
  <w:footnote w:type="continuationSeparator" w:id="0">
    <w:p w:rsidR="00AC6F0E" w:rsidRDefault="00AC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0E" w:rsidRDefault="00AC6F0E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0E" w:rsidRPr="00FD7576" w:rsidRDefault="00AC6F0E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2" w:name="Color"/>
    <w:bookmarkStart w:id="3" w:name="SW"/>
    <w:r w:rsidRPr="00FD7576">
      <w:rPr>
        <w:noProof/>
        <w:color w:val="00359A"/>
        <w:sz w:val="23"/>
      </w:rPr>
      <w:drawing>
        <wp:anchor distT="0" distB="0" distL="114300" distR="114300" simplePos="0" relativeHeight="251659264" behindDoc="0" locked="0" layoutInCell="1" allowOverlap="1" wp14:anchorId="762B46E2" wp14:editId="754B4795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76">
      <w:rPr>
        <w:color w:val="00359A"/>
        <w:sz w:val="23"/>
      </w:rPr>
      <w:t>Hessische Lehrkräfteakademie</w:t>
    </w:r>
    <w:bookmarkStart w:id="4" w:name="Kopf"/>
    <w:bookmarkEnd w:id="2"/>
    <w:bookmarkEnd w:id="3"/>
    <w:bookmarkEnd w:id="4"/>
  </w:p>
  <w:p w:rsidR="00AC6F0E" w:rsidRPr="00A323B2" w:rsidRDefault="00AC6F0E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A323B2">
      <w:rPr>
        <w:color w:val="auto"/>
        <w:sz w:val="23"/>
        <w:szCs w:val="23"/>
      </w:rPr>
      <w:t>Studienseminar für Gymnasien Marburg</w:t>
    </w:r>
  </w:p>
  <w:p w:rsidR="00AC6F0E" w:rsidRDefault="00AC6F0E" w:rsidP="0031421C">
    <w:pPr>
      <w:pStyle w:val="KopfICI"/>
      <w:framePr w:hRule="auto" w:hSpace="0" w:wrap="auto" w:vAnchor="margin" w:hAnchor="text" w:xAlign="left" w:yAlign="inline"/>
      <w:spacing w:line="240" w:lineRule="auto"/>
      <w:rPr>
        <w:b w:val="0"/>
        <w:color w:val="auto"/>
        <w:sz w:val="16"/>
        <w:szCs w:val="16"/>
      </w:rPr>
    </w:pPr>
    <w:r w:rsidRPr="00494B4C">
      <w:rPr>
        <w:b w:val="0"/>
        <w:color w:val="auto"/>
        <w:sz w:val="16"/>
        <w:szCs w:val="16"/>
      </w:rPr>
      <w:t>Robert-Koch-Straße 17</w:t>
    </w:r>
    <w:r>
      <w:rPr>
        <w:b w:val="0"/>
        <w:color w:val="auto"/>
        <w:sz w:val="16"/>
        <w:szCs w:val="16"/>
      </w:rPr>
      <w:t xml:space="preserve"> </w:t>
    </w:r>
    <w:r>
      <w:rPr>
        <w:b w:val="0"/>
        <w:color w:val="auto"/>
        <w:sz w:val="16"/>
        <w:szCs w:val="16"/>
      </w:rPr>
      <w:sym w:font="Wingdings" w:char="F09F"/>
    </w:r>
    <w:r>
      <w:rPr>
        <w:b w:val="0"/>
        <w:color w:val="auto"/>
        <w:sz w:val="16"/>
        <w:szCs w:val="16"/>
      </w:rPr>
      <w:t xml:space="preserve"> 35037 Marburg</w:t>
    </w:r>
  </w:p>
  <w:p w:rsidR="00AC6F0E" w:rsidRPr="00494B4C" w:rsidRDefault="00AC6F0E" w:rsidP="0031421C">
    <w:pPr>
      <w:pStyle w:val="KopfICI"/>
      <w:framePr w:hRule="auto" w:hSpace="0" w:wrap="auto" w:vAnchor="margin" w:hAnchor="text" w:xAlign="left" w:yAlign="inline"/>
      <w:spacing w:line="240" w:lineRule="auto"/>
      <w:rPr>
        <w:b w:val="0"/>
        <w:color w:val="auto"/>
        <w:sz w:val="16"/>
        <w:szCs w:val="16"/>
      </w:rPr>
    </w:pPr>
    <w:r>
      <w:rPr>
        <w:b w:val="0"/>
        <w:color w:val="auto"/>
        <w:sz w:val="16"/>
        <w:szCs w:val="16"/>
      </w:rPr>
      <w:t xml:space="preserve">Tel.: 06421 616-469 </w:t>
    </w:r>
    <w:r>
      <w:rPr>
        <w:b w:val="0"/>
        <w:color w:val="auto"/>
        <w:sz w:val="16"/>
        <w:szCs w:val="16"/>
      </w:rPr>
      <w:sym w:font="Wingdings" w:char="F09F"/>
    </w:r>
    <w:r>
      <w:rPr>
        <w:b w:val="0"/>
        <w:color w:val="auto"/>
        <w:sz w:val="16"/>
        <w:szCs w:val="16"/>
      </w:rPr>
      <w:t xml:space="preserve"> E-Mail: </w:t>
    </w:r>
    <w:r w:rsidRPr="003E274E">
      <w:rPr>
        <w:b w:val="0"/>
        <w:sz w:val="16"/>
        <w:szCs w:val="16"/>
      </w:rPr>
      <w:t>Poststelle.STS-GYM.MR@kultus.hessen.de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B"/>
    <w:rsid w:val="00002144"/>
    <w:rsid w:val="00004911"/>
    <w:rsid w:val="00005DF6"/>
    <w:rsid w:val="0002746E"/>
    <w:rsid w:val="00033C0B"/>
    <w:rsid w:val="00033ED8"/>
    <w:rsid w:val="000375B8"/>
    <w:rsid w:val="00045042"/>
    <w:rsid w:val="00065F8A"/>
    <w:rsid w:val="00070339"/>
    <w:rsid w:val="000D29BC"/>
    <w:rsid w:val="000F0004"/>
    <w:rsid w:val="0010625A"/>
    <w:rsid w:val="001108D8"/>
    <w:rsid w:val="00117953"/>
    <w:rsid w:val="001219C1"/>
    <w:rsid w:val="00124D1B"/>
    <w:rsid w:val="00135FC4"/>
    <w:rsid w:val="0014290C"/>
    <w:rsid w:val="00174996"/>
    <w:rsid w:val="001B0578"/>
    <w:rsid w:val="001C5B2A"/>
    <w:rsid w:val="00203A53"/>
    <w:rsid w:val="00213A5C"/>
    <w:rsid w:val="002168B6"/>
    <w:rsid w:val="00224AB3"/>
    <w:rsid w:val="0022698E"/>
    <w:rsid w:val="00226A2C"/>
    <w:rsid w:val="0024144F"/>
    <w:rsid w:val="002518A0"/>
    <w:rsid w:val="002611FD"/>
    <w:rsid w:val="002818BA"/>
    <w:rsid w:val="002827F5"/>
    <w:rsid w:val="00285EB2"/>
    <w:rsid w:val="00297490"/>
    <w:rsid w:val="002A66E9"/>
    <w:rsid w:val="002F068B"/>
    <w:rsid w:val="002F4590"/>
    <w:rsid w:val="003038B0"/>
    <w:rsid w:val="003121C4"/>
    <w:rsid w:val="0031421C"/>
    <w:rsid w:val="00326DBE"/>
    <w:rsid w:val="00352C18"/>
    <w:rsid w:val="003734D8"/>
    <w:rsid w:val="003A2790"/>
    <w:rsid w:val="003B03C8"/>
    <w:rsid w:val="003E274E"/>
    <w:rsid w:val="00440DF8"/>
    <w:rsid w:val="00444C4F"/>
    <w:rsid w:val="00455F3C"/>
    <w:rsid w:val="00465383"/>
    <w:rsid w:val="00465DB3"/>
    <w:rsid w:val="00494B4C"/>
    <w:rsid w:val="004A135D"/>
    <w:rsid w:val="004A1E81"/>
    <w:rsid w:val="004B2E05"/>
    <w:rsid w:val="004B70AA"/>
    <w:rsid w:val="004D2BD6"/>
    <w:rsid w:val="004D76C8"/>
    <w:rsid w:val="004D7A57"/>
    <w:rsid w:val="004E6AE4"/>
    <w:rsid w:val="00522224"/>
    <w:rsid w:val="00534802"/>
    <w:rsid w:val="00541A3B"/>
    <w:rsid w:val="0055700E"/>
    <w:rsid w:val="005620A0"/>
    <w:rsid w:val="00565FC3"/>
    <w:rsid w:val="0059164C"/>
    <w:rsid w:val="005A3030"/>
    <w:rsid w:val="005A416A"/>
    <w:rsid w:val="005C4880"/>
    <w:rsid w:val="005E3187"/>
    <w:rsid w:val="005E59B6"/>
    <w:rsid w:val="00607011"/>
    <w:rsid w:val="006151CB"/>
    <w:rsid w:val="0062315D"/>
    <w:rsid w:val="00647062"/>
    <w:rsid w:val="0065262D"/>
    <w:rsid w:val="006A3594"/>
    <w:rsid w:val="006A51D8"/>
    <w:rsid w:val="006B0709"/>
    <w:rsid w:val="006B7207"/>
    <w:rsid w:val="006C2C33"/>
    <w:rsid w:val="006E3C13"/>
    <w:rsid w:val="006F60DE"/>
    <w:rsid w:val="00724C33"/>
    <w:rsid w:val="00736C52"/>
    <w:rsid w:val="00756E5A"/>
    <w:rsid w:val="007578A4"/>
    <w:rsid w:val="00781A01"/>
    <w:rsid w:val="00782C22"/>
    <w:rsid w:val="007A305A"/>
    <w:rsid w:val="007A399C"/>
    <w:rsid w:val="007A74CE"/>
    <w:rsid w:val="007A7E7F"/>
    <w:rsid w:val="007B0281"/>
    <w:rsid w:val="007C025A"/>
    <w:rsid w:val="007C21DE"/>
    <w:rsid w:val="007D77D3"/>
    <w:rsid w:val="007E268A"/>
    <w:rsid w:val="007E28C1"/>
    <w:rsid w:val="00825277"/>
    <w:rsid w:val="00846EE6"/>
    <w:rsid w:val="00861055"/>
    <w:rsid w:val="008A153D"/>
    <w:rsid w:val="008A6C1E"/>
    <w:rsid w:val="008C51F5"/>
    <w:rsid w:val="008C5E9E"/>
    <w:rsid w:val="008D134E"/>
    <w:rsid w:val="008D7725"/>
    <w:rsid w:val="008E0400"/>
    <w:rsid w:val="008E1369"/>
    <w:rsid w:val="008E3444"/>
    <w:rsid w:val="008F26C8"/>
    <w:rsid w:val="009140A9"/>
    <w:rsid w:val="00927DB6"/>
    <w:rsid w:val="0093017F"/>
    <w:rsid w:val="0093156E"/>
    <w:rsid w:val="00936717"/>
    <w:rsid w:val="009B108B"/>
    <w:rsid w:val="009B7C6C"/>
    <w:rsid w:val="009D56DE"/>
    <w:rsid w:val="009D7A5E"/>
    <w:rsid w:val="009E4C04"/>
    <w:rsid w:val="009E76B1"/>
    <w:rsid w:val="00A009D8"/>
    <w:rsid w:val="00A11463"/>
    <w:rsid w:val="00A323B2"/>
    <w:rsid w:val="00A74BD5"/>
    <w:rsid w:val="00A76C33"/>
    <w:rsid w:val="00A83484"/>
    <w:rsid w:val="00AA6B2B"/>
    <w:rsid w:val="00AA79F6"/>
    <w:rsid w:val="00AC1B03"/>
    <w:rsid w:val="00AC6162"/>
    <w:rsid w:val="00AC6F0E"/>
    <w:rsid w:val="00B022B3"/>
    <w:rsid w:val="00B03F7F"/>
    <w:rsid w:val="00B524EC"/>
    <w:rsid w:val="00B73788"/>
    <w:rsid w:val="00B74BF9"/>
    <w:rsid w:val="00B86855"/>
    <w:rsid w:val="00B95C9C"/>
    <w:rsid w:val="00B964A3"/>
    <w:rsid w:val="00BC5799"/>
    <w:rsid w:val="00BC7842"/>
    <w:rsid w:val="00BE2EA5"/>
    <w:rsid w:val="00BF616E"/>
    <w:rsid w:val="00C059F5"/>
    <w:rsid w:val="00C10AB4"/>
    <w:rsid w:val="00C21755"/>
    <w:rsid w:val="00C37586"/>
    <w:rsid w:val="00C6342B"/>
    <w:rsid w:val="00C76CA9"/>
    <w:rsid w:val="00C90A7A"/>
    <w:rsid w:val="00CB1D31"/>
    <w:rsid w:val="00D15897"/>
    <w:rsid w:val="00D42600"/>
    <w:rsid w:val="00D44ACC"/>
    <w:rsid w:val="00D6379D"/>
    <w:rsid w:val="00D75827"/>
    <w:rsid w:val="00D76DBF"/>
    <w:rsid w:val="00D838AE"/>
    <w:rsid w:val="00D85EF2"/>
    <w:rsid w:val="00D9339B"/>
    <w:rsid w:val="00D9366A"/>
    <w:rsid w:val="00D94A8B"/>
    <w:rsid w:val="00DA4217"/>
    <w:rsid w:val="00DC329B"/>
    <w:rsid w:val="00DD1B25"/>
    <w:rsid w:val="00DD2CD9"/>
    <w:rsid w:val="00DD2DC7"/>
    <w:rsid w:val="00DD44D2"/>
    <w:rsid w:val="00DF3DB8"/>
    <w:rsid w:val="00E11827"/>
    <w:rsid w:val="00E53964"/>
    <w:rsid w:val="00E75D7D"/>
    <w:rsid w:val="00E957F1"/>
    <w:rsid w:val="00EC23C3"/>
    <w:rsid w:val="00EC55F0"/>
    <w:rsid w:val="00EC687F"/>
    <w:rsid w:val="00EC7374"/>
    <w:rsid w:val="00EE0677"/>
    <w:rsid w:val="00F0234C"/>
    <w:rsid w:val="00F15AA8"/>
    <w:rsid w:val="00F15AB4"/>
    <w:rsid w:val="00F20C68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D7576"/>
    <w:rsid w:val="00FE564D"/>
    <w:rsid w:val="00FE636E"/>
    <w:rsid w:val="00FE7065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A385-5B1E-4ADD-82AC-60B7E444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5FCE46DD.dotm</Template>
  <TotalTime>0</TotalTime>
  <Pages>1</Pages>
  <Words>204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1688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Kim-Miriam (LSA MR)</dc:creator>
  <cp:lastModifiedBy>Wolf, Ellen (LSA MR)</cp:lastModifiedBy>
  <cp:revision>3</cp:revision>
  <cp:lastPrinted>2017-11-06T07:38:00Z</cp:lastPrinted>
  <dcterms:created xsi:type="dcterms:W3CDTF">2017-11-06T07:37:00Z</dcterms:created>
  <dcterms:modified xsi:type="dcterms:W3CDTF">2017-11-06T07:38:00Z</dcterms:modified>
</cp:coreProperties>
</file>